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D0722D" w14:textId="77777777" w:rsidR="009B6226" w:rsidRPr="00F774A6" w:rsidRDefault="00251146" w:rsidP="00CA7657">
      <w:pPr>
        <w:pStyle w:val="Title"/>
      </w:pPr>
      <w:r w:rsidRPr="00F774A6">
        <w:softHyphen/>
      </w:r>
      <w:r w:rsidRPr="00F774A6">
        <w:softHyphen/>
      </w:r>
      <w:r w:rsidR="009B6226" w:rsidRPr="00F774A6">
        <w:t xml:space="preserve">Supplementary </w:t>
      </w:r>
      <w:r w:rsidR="003B2891">
        <w:t>M</w:t>
      </w:r>
      <w:r w:rsidR="009B6226" w:rsidRPr="00F774A6">
        <w:t>ethods</w:t>
      </w:r>
    </w:p>
    <w:p w14:paraId="7AD32927" w14:textId="77777777" w:rsidR="00FE02DB" w:rsidRPr="00E22B14" w:rsidRDefault="00FE02DB" w:rsidP="00FE02DB">
      <w:pPr>
        <w:pStyle w:val="Title"/>
      </w:pPr>
      <w:bookmarkStart w:id="0" w:name="_Hlk27661083"/>
      <w:bookmarkStart w:id="1" w:name="_Hlk27663682"/>
      <w:r w:rsidRPr="00E22B14">
        <w:rPr>
          <w:rStyle w:val="TitleChar"/>
          <w:b/>
        </w:rPr>
        <w:t xml:space="preserve">Maternal haemoglobin levels in pregnancy and </w:t>
      </w:r>
      <w:r>
        <w:rPr>
          <w:rStyle w:val="TitleChar"/>
          <w:b/>
        </w:rPr>
        <w:t xml:space="preserve">child </w:t>
      </w:r>
      <w:r w:rsidRPr="00E22B14">
        <w:rPr>
          <w:rStyle w:val="TitleChar"/>
          <w:b/>
        </w:rPr>
        <w:t>DNA methylation: a study in the Pregnancy And Childhood Epigenetics</w:t>
      </w:r>
      <w:r w:rsidRPr="00E22B14">
        <w:t xml:space="preserve"> Consortium</w:t>
      </w:r>
    </w:p>
    <w:p w14:paraId="5E139A02" w14:textId="77777777" w:rsidR="00B50C09" w:rsidRPr="000B351A" w:rsidRDefault="00B50C09" w:rsidP="00B50C09">
      <w:bookmarkStart w:id="2" w:name="_GoBack"/>
      <w:bookmarkEnd w:id="2"/>
      <w:r w:rsidRPr="000B351A">
        <w:t>Justiina Ronkainen</w:t>
      </w:r>
      <w:r w:rsidRPr="000B351A">
        <w:rPr>
          <w:vertAlign w:val="superscript"/>
        </w:rPr>
        <w:t xml:space="preserve">1 </w:t>
      </w:r>
      <w:r w:rsidRPr="000B351A">
        <w:t>*, Anni Heiskala</w:t>
      </w:r>
      <w:r w:rsidRPr="000B351A">
        <w:rPr>
          <w:vertAlign w:val="superscript"/>
        </w:rPr>
        <w:t xml:space="preserve">1 </w:t>
      </w:r>
      <w:r w:rsidRPr="000B351A">
        <w:t>*, Florianne O.L. Vehmeijer</w:t>
      </w:r>
      <w:r>
        <w:rPr>
          <w:vertAlign w:val="superscript"/>
        </w:rPr>
        <w:t>2,3</w:t>
      </w:r>
      <w:r w:rsidRPr="000B351A">
        <w:t>, Estelle Lowry</w:t>
      </w:r>
      <w:r w:rsidRPr="000B351A">
        <w:rPr>
          <w:vertAlign w:val="superscript"/>
        </w:rPr>
        <w:t>1,</w:t>
      </w:r>
      <w:r>
        <w:rPr>
          <w:vertAlign w:val="superscript"/>
        </w:rPr>
        <w:t>4</w:t>
      </w:r>
      <w:r w:rsidRPr="000B351A">
        <w:t>, Doretta Caramaschi</w:t>
      </w:r>
      <w:r w:rsidRPr="006A5485">
        <w:rPr>
          <w:vertAlign w:val="superscript"/>
        </w:rPr>
        <w:t>5</w:t>
      </w:r>
      <w:r w:rsidRPr="000B351A">
        <w:t>, Guadalupe Estrada Gutiérrez</w:t>
      </w:r>
      <w:r>
        <w:rPr>
          <w:vertAlign w:val="superscript"/>
        </w:rPr>
        <w:t>6</w:t>
      </w:r>
      <w:r w:rsidRPr="000B351A">
        <w:t>, Jonathan A. Heiss</w:t>
      </w:r>
      <w:r>
        <w:rPr>
          <w:vertAlign w:val="superscript"/>
        </w:rPr>
        <w:t>7</w:t>
      </w:r>
      <w:r w:rsidRPr="000B351A">
        <w:t>, Nadine Hummel</w:t>
      </w:r>
      <w:r>
        <w:rPr>
          <w:vertAlign w:val="superscript"/>
        </w:rPr>
        <w:t>8</w:t>
      </w:r>
      <w:r w:rsidRPr="000B351A">
        <w:t>, Elina Keikkala</w:t>
      </w:r>
      <w:r>
        <w:rPr>
          <w:vertAlign w:val="superscript"/>
        </w:rPr>
        <w:t>9,10</w:t>
      </w:r>
      <w:r w:rsidRPr="000B351A">
        <w:t>, Tuomas Kvist</w:t>
      </w:r>
      <w:r w:rsidRPr="000B351A">
        <w:rPr>
          <w:vertAlign w:val="superscript"/>
        </w:rPr>
        <w:t>1</w:t>
      </w:r>
      <w:r>
        <w:rPr>
          <w:vertAlign w:val="superscript"/>
        </w:rPr>
        <w:t>1</w:t>
      </w:r>
      <w:r w:rsidRPr="000B351A">
        <w:rPr>
          <w:vertAlign w:val="superscript"/>
        </w:rPr>
        <w:t>,1</w:t>
      </w:r>
      <w:r>
        <w:rPr>
          <w:vertAlign w:val="superscript"/>
        </w:rPr>
        <w:t>2</w:t>
      </w:r>
      <w:r w:rsidRPr="000B351A">
        <w:t>, Allison Kupsco</w:t>
      </w:r>
      <w:r w:rsidRPr="000B351A">
        <w:rPr>
          <w:vertAlign w:val="superscript"/>
        </w:rPr>
        <w:t>1</w:t>
      </w:r>
      <w:r>
        <w:rPr>
          <w:vertAlign w:val="superscript"/>
        </w:rPr>
        <w:t>3</w:t>
      </w:r>
      <w:r w:rsidRPr="000B351A">
        <w:t>, Phillip E. Melton</w:t>
      </w:r>
      <w:r w:rsidRPr="000B351A">
        <w:rPr>
          <w:vertAlign w:val="superscript"/>
        </w:rPr>
        <w:t>1</w:t>
      </w:r>
      <w:r>
        <w:rPr>
          <w:vertAlign w:val="superscript"/>
        </w:rPr>
        <w:t>4</w:t>
      </w:r>
      <w:r w:rsidRPr="000B351A">
        <w:rPr>
          <w:vertAlign w:val="superscript"/>
        </w:rPr>
        <w:t>,1</w:t>
      </w:r>
      <w:r>
        <w:rPr>
          <w:vertAlign w:val="superscript"/>
        </w:rPr>
        <w:t>5</w:t>
      </w:r>
      <w:r w:rsidRPr="000B351A">
        <w:t>, Giancarlo Pesce</w:t>
      </w:r>
      <w:r w:rsidRPr="000B351A">
        <w:rPr>
          <w:vertAlign w:val="superscript"/>
        </w:rPr>
        <w:t>1</w:t>
      </w:r>
      <w:r>
        <w:rPr>
          <w:vertAlign w:val="superscript"/>
        </w:rPr>
        <w:t>6</w:t>
      </w:r>
      <w:r w:rsidRPr="000B351A">
        <w:rPr>
          <w:vertAlign w:val="superscript"/>
        </w:rPr>
        <w:t>,1</w:t>
      </w:r>
      <w:r>
        <w:rPr>
          <w:vertAlign w:val="superscript"/>
        </w:rPr>
        <w:t>7</w:t>
      </w:r>
      <w:r w:rsidRPr="000B351A">
        <w:t>, Munawar H. Soomro</w:t>
      </w:r>
      <w:r w:rsidRPr="000B351A">
        <w:rPr>
          <w:vertAlign w:val="superscript"/>
        </w:rPr>
        <w:t>1</w:t>
      </w:r>
      <w:r>
        <w:rPr>
          <w:vertAlign w:val="superscript"/>
        </w:rPr>
        <w:t>6</w:t>
      </w:r>
      <w:r w:rsidRPr="000B351A">
        <w:rPr>
          <w:vertAlign w:val="superscript"/>
        </w:rPr>
        <w:t>,1</w:t>
      </w:r>
      <w:r>
        <w:rPr>
          <w:vertAlign w:val="superscript"/>
        </w:rPr>
        <w:t>7</w:t>
      </w:r>
      <w:r w:rsidRPr="000B351A">
        <w:t>, Marta Vives-Usano</w:t>
      </w:r>
      <w:r w:rsidRPr="000B351A">
        <w:rPr>
          <w:vertAlign w:val="superscript"/>
        </w:rPr>
        <w:t>1</w:t>
      </w:r>
      <w:r>
        <w:rPr>
          <w:vertAlign w:val="superscript"/>
        </w:rPr>
        <w:t>8</w:t>
      </w:r>
      <w:r w:rsidRPr="000B351A">
        <w:rPr>
          <w:vertAlign w:val="superscript"/>
        </w:rPr>
        <w:t>,</w:t>
      </w:r>
      <w:r>
        <w:rPr>
          <w:vertAlign w:val="superscript"/>
        </w:rPr>
        <w:t>19</w:t>
      </w:r>
      <w:r w:rsidRPr="000B351A">
        <w:t>, Nour Baiz</w:t>
      </w:r>
      <w:r w:rsidRPr="000B351A">
        <w:rPr>
          <w:vertAlign w:val="superscript"/>
        </w:rPr>
        <w:t>1</w:t>
      </w:r>
      <w:r>
        <w:rPr>
          <w:vertAlign w:val="superscript"/>
        </w:rPr>
        <w:t>6</w:t>
      </w:r>
      <w:r w:rsidRPr="000B351A">
        <w:rPr>
          <w:vertAlign w:val="superscript"/>
        </w:rPr>
        <w:t>,1</w:t>
      </w:r>
      <w:r>
        <w:rPr>
          <w:vertAlign w:val="superscript"/>
        </w:rPr>
        <w:t>7</w:t>
      </w:r>
      <w:r w:rsidRPr="000B351A">
        <w:t>, Elisabeth Binder</w:t>
      </w:r>
      <w:r w:rsidRPr="000B351A">
        <w:rPr>
          <w:vertAlign w:val="superscript"/>
        </w:rPr>
        <w:t>2</w:t>
      </w:r>
      <w:r>
        <w:rPr>
          <w:vertAlign w:val="superscript"/>
        </w:rPr>
        <w:t>0</w:t>
      </w:r>
      <w:r w:rsidRPr="000B351A">
        <w:t>, Darina Czamara</w:t>
      </w:r>
      <w:r w:rsidRPr="000B351A">
        <w:rPr>
          <w:vertAlign w:val="superscript"/>
        </w:rPr>
        <w:t>2</w:t>
      </w:r>
      <w:r>
        <w:rPr>
          <w:vertAlign w:val="superscript"/>
        </w:rPr>
        <w:t>0</w:t>
      </w:r>
      <w:r w:rsidRPr="000B351A">
        <w:t xml:space="preserve">, </w:t>
      </w:r>
      <w:proofErr w:type="spellStart"/>
      <w:r w:rsidRPr="000B351A">
        <w:t>Mònica</w:t>
      </w:r>
      <w:proofErr w:type="spellEnd"/>
      <w:r w:rsidRPr="000B351A">
        <w:t xml:space="preserve"> Guxens</w:t>
      </w:r>
      <w:r>
        <w:rPr>
          <w:vertAlign w:val="superscript"/>
        </w:rPr>
        <w:t>19</w:t>
      </w:r>
      <w:r w:rsidRPr="000B351A">
        <w:rPr>
          <w:vertAlign w:val="superscript"/>
        </w:rPr>
        <w:t>,2</w:t>
      </w:r>
      <w:r>
        <w:rPr>
          <w:vertAlign w:val="superscript"/>
        </w:rPr>
        <w:t>1</w:t>
      </w:r>
      <w:r w:rsidRPr="000B351A">
        <w:rPr>
          <w:vertAlign w:val="superscript"/>
        </w:rPr>
        <w:t>,2</w:t>
      </w:r>
      <w:r>
        <w:rPr>
          <w:vertAlign w:val="superscript"/>
        </w:rPr>
        <w:t>2</w:t>
      </w:r>
      <w:r w:rsidRPr="000B351A">
        <w:rPr>
          <w:vertAlign w:val="superscript"/>
        </w:rPr>
        <w:t>,2</w:t>
      </w:r>
      <w:r>
        <w:rPr>
          <w:vertAlign w:val="superscript"/>
        </w:rPr>
        <w:t>3</w:t>
      </w:r>
      <w:r w:rsidRPr="000B351A">
        <w:t>, Sanna Mustaniemi</w:t>
      </w:r>
      <w:r>
        <w:rPr>
          <w:vertAlign w:val="superscript"/>
        </w:rPr>
        <w:t>9</w:t>
      </w:r>
      <w:r w:rsidRPr="000B351A">
        <w:rPr>
          <w:vertAlign w:val="superscript"/>
        </w:rPr>
        <w:t>,1</w:t>
      </w:r>
      <w:r>
        <w:rPr>
          <w:vertAlign w:val="superscript"/>
        </w:rPr>
        <w:t>0</w:t>
      </w:r>
      <w:r w:rsidRPr="000B351A">
        <w:t>, Stephanie J.  London</w:t>
      </w:r>
      <w:r w:rsidRPr="000B351A">
        <w:rPr>
          <w:vertAlign w:val="superscript"/>
        </w:rPr>
        <w:t>2</w:t>
      </w:r>
      <w:r>
        <w:rPr>
          <w:vertAlign w:val="superscript"/>
        </w:rPr>
        <w:t>4</w:t>
      </w:r>
      <w:r w:rsidRPr="000B351A">
        <w:t>, Sebastian Rauschert</w:t>
      </w:r>
      <w:r w:rsidRPr="000B351A">
        <w:rPr>
          <w:vertAlign w:val="superscript"/>
        </w:rPr>
        <w:t>2</w:t>
      </w:r>
      <w:r>
        <w:rPr>
          <w:vertAlign w:val="superscript"/>
        </w:rPr>
        <w:t>5</w:t>
      </w:r>
      <w:r w:rsidRPr="000B351A">
        <w:t>, Marja Vääräsmäki</w:t>
      </w:r>
      <w:r>
        <w:rPr>
          <w:vertAlign w:val="superscript"/>
        </w:rPr>
        <w:t>9</w:t>
      </w:r>
      <w:r w:rsidRPr="000B351A">
        <w:rPr>
          <w:vertAlign w:val="superscript"/>
        </w:rPr>
        <w:t>,1</w:t>
      </w:r>
      <w:r>
        <w:rPr>
          <w:vertAlign w:val="superscript"/>
        </w:rPr>
        <w:t>0</w:t>
      </w:r>
      <w:r w:rsidRPr="000B351A">
        <w:t>, Martine Vrijheid</w:t>
      </w:r>
      <w:r>
        <w:rPr>
          <w:vertAlign w:val="superscript"/>
        </w:rPr>
        <w:t>19</w:t>
      </w:r>
      <w:r w:rsidRPr="000B351A">
        <w:rPr>
          <w:vertAlign w:val="superscript"/>
        </w:rPr>
        <w:t>,2</w:t>
      </w:r>
      <w:r>
        <w:rPr>
          <w:vertAlign w:val="superscript"/>
        </w:rPr>
        <w:t>1</w:t>
      </w:r>
      <w:r w:rsidRPr="000B351A">
        <w:rPr>
          <w:vertAlign w:val="superscript"/>
        </w:rPr>
        <w:t>,2</w:t>
      </w:r>
      <w:r>
        <w:rPr>
          <w:vertAlign w:val="superscript"/>
        </w:rPr>
        <w:t>2</w:t>
      </w:r>
      <w:r w:rsidRPr="000B351A">
        <w:t>, Anette-G. Ziegler</w:t>
      </w:r>
      <w:r>
        <w:rPr>
          <w:vertAlign w:val="superscript"/>
        </w:rPr>
        <w:t>7</w:t>
      </w:r>
      <w:r w:rsidRPr="000B351A">
        <w:rPr>
          <w:vertAlign w:val="superscript"/>
        </w:rPr>
        <w:t>,2</w:t>
      </w:r>
      <w:r>
        <w:rPr>
          <w:vertAlign w:val="superscript"/>
        </w:rPr>
        <w:t>6</w:t>
      </w:r>
      <w:r w:rsidRPr="000B351A">
        <w:rPr>
          <w:vertAlign w:val="superscript"/>
        </w:rPr>
        <w:t>,2</w:t>
      </w:r>
      <w:r>
        <w:rPr>
          <w:vertAlign w:val="superscript"/>
        </w:rPr>
        <w:t>7</w:t>
      </w:r>
      <w:r w:rsidRPr="000B351A">
        <w:t>, Isabella Annesi-Maesano</w:t>
      </w:r>
      <w:r w:rsidRPr="000B351A">
        <w:rPr>
          <w:vertAlign w:val="superscript"/>
        </w:rPr>
        <w:t>1</w:t>
      </w:r>
      <w:r>
        <w:rPr>
          <w:vertAlign w:val="superscript"/>
        </w:rPr>
        <w:t>6</w:t>
      </w:r>
      <w:r w:rsidRPr="000B351A">
        <w:rPr>
          <w:vertAlign w:val="superscript"/>
        </w:rPr>
        <w:t>,1</w:t>
      </w:r>
      <w:r>
        <w:rPr>
          <w:vertAlign w:val="superscript"/>
        </w:rPr>
        <w:t>7</w:t>
      </w:r>
      <w:r w:rsidRPr="000B351A">
        <w:t>, Mariona Bustamante</w:t>
      </w:r>
      <w:r>
        <w:rPr>
          <w:vertAlign w:val="superscript"/>
        </w:rPr>
        <w:t>19</w:t>
      </w:r>
      <w:r w:rsidRPr="000B351A">
        <w:rPr>
          <w:vertAlign w:val="superscript"/>
        </w:rPr>
        <w:t>,2</w:t>
      </w:r>
      <w:r>
        <w:rPr>
          <w:vertAlign w:val="superscript"/>
        </w:rPr>
        <w:t>1</w:t>
      </w:r>
      <w:r w:rsidRPr="000B351A">
        <w:rPr>
          <w:vertAlign w:val="superscript"/>
        </w:rPr>
        <w:t>,2</w:t>
      </w:r>
      <w:r>
        <w:rPr>
          <w:vertAlign w:val="superscript"/>
        </w:rPr>
        <w:t>2</w:t>
      </w:r>
      <w:r w:rsidRPr="000B351A">
        <w:t>, Rae-Chi Huang</w:t>
      </w:r>
      <w:r w:rsidRPr="000B351A">
        <w:rPr>
          <w:vertAlign w:val="superscript"/>
        </w:rPr>
        <w:t>2</w:t>
      </w:r>
      <w:r>
        <w:rPr>
          <w:vertAlign w:val="superscript"/>
        </w:rPr>
        <w:t>5</w:t>
      </w:r>
      <w:r w:rsidRPr="000B351A">
        <w:t>, Sandra Hummel</w:t>
      </w:r>
      <w:r>
        <w:rPr>
          <w:vertAlign w:val="superscript"/>
        </w:rPr>
        <w:t>7</w:t>
      </w:r>
      <w:r w:rsidRPr="000B351A">
        <w:rPr>
          <w:vertAlign w:val="superscript"/>
        </w:rPr>
        <w:t>,2</w:t>
      </w:r>
      <w:r>
        <w:rPr>
          <w:vertAlign w:val="superscript"/>
        </w:rPr>
        <w:t>6</w:t>
      </w:r>
      <w:r w:rsidRPr="000B351A">
        <w:rPr>
          <w:vertAlign w:val="superscript"/>
        </w:rPr>
        <w:t>,2</w:t>
      </w:r>
      <w:r>
        <w:rPr>
          <w:vertAlign w:val="superscript"/>
        </w:rPr>
        <w:t>7</w:t>
      </w:r>
      <w:r w:rsidRPr="000B351A">
        <w:t>, Allan C. Just</w:t>
      </w:r>
      <w:r>
        <w:rPr>
          <w:vertAlign w:val="superscript"/>
        </w:rPr>
        <w:t>6</w:t>
      </w:r>
      <w:r w:rsidRPr="000B351A">
        <w:t>, Eero Kajantie</w:t>
      </w:r>
      <w:r>
        <w:rPr>
          <w:vertAlign w:val="superscript"/>
        </w:rPr>
        <w:t>9</w:t>
      </w:r>
      <w:r w:rsidRPr="000B351A">
        <w:rPr>
          <w:vertAlign w:val="superscript"/>
        </w:rPr>
        <w:t>,1</w:t>
      </w:r>
      <w:r>
        <w:rPr>
          <w:vertAlign w:val="superscript"/>
        </w:rPr>
        <w:t>0</w:t>
      </w:r>
      <w:r w:rsidRPr="000B351A">
        <w:rPr>
          <w:vertAlign w:val="superscript"/>
        </w:rPr>
        <w:t>,2</w:t>
      </w:r>
      <w:r>
        <w:rPr>
          <w:vertAlign w:val="superscript"/>
        </w:rPr>
        <w:t>8</w:t>
      </w:r>
      <w:r w:rsidRPr="000B351A">
        <w:rPr>
          <w:vertAlign w:val="superscript"/>
        </w:rPr>
        <w:t>,</w:t>
      </w:r>
      <w:r>
        <w:rPr>
          <w:vertAlign w:val="superscript"/>
        </w:rPr>
        <w:t>29</w:t>
      </w:r>
      <w:r w:rsidRPr="000B351A">
        <w:t>, Jari Lahti</w:t>
      </w:r>
      <w:r w:rsidRPr="000B351A">
        <w:rPr>
          <w:vertAlign w:val="superscript"/>
        </w:rPr>
        <w:t>1</w:t>
      </w:r>
      <w:r>
        <w:rPr>
          <w:vertAlign w:val="superscript"/>
        </w:rPr>
        <w:t>1</w:t>
      </w:r>
      <w:r w:rsidRPr="000B351A">
        <w:rPr>
          <w:vertAlign w:val="superscript"/>
        </w:rPr>
        <w:t>,3</w:t>
      </w:r>
      <w:r>
        <w:rPr>
          <w:vertAlign w:val="superscript"/>
        </w:rPr>
        <w:t>0</w:t>
      </w:r>
      <w:r w:rsidRPr="000B351A">
        <w:t>, Deborah Lawlor</w:t>
      </w:r>
      <w:r>
        <w:rPr>
          <w:vertAlign w:val="superscript"/>
        </w:rPr>
        <w:t>5</w:t>
      </w:r>
      <w:r w:rsidRPr="000B351A">
        <w:t>, Katri Räikkönen</w:t>
      </w:r>
      <w:r w:rsidRPr="000B351A">
        <w:rPr>
          <w:vertAlign w:val="superscript"/>
        </w:rPr>
        <w:t>1</w:t>
      </w:r>
      <w:r>
        <w:rPr>
          <w:vertAlign w:val="superscript"/>
        </w:rPr>
        <w:t>1</w:t>
      </w:r>
      <w:r w:rsidRPr="000B351A">
        <w:t>, Marjo-Riitta Järvelin</w:t>
      </w:r>
      <w:r w:rsidRPr="000B351A">
        <w:rPr>
          <w:vertAlign w:val="superscript"/>
        </w:rPr>
        <w:t>1,3</w:t>
      </w:r>
      <w:r>
        <w:rPr>
          <w:vertAlign w:val="superscript"/>
        </w:rPr>
        <w:t>1</w:t>
      </w:r>
      <w:r w:rsidRPr="000B351A">
        <w:t>, Janine F. Felix</w:t>
      </w:r>
      <w:r>
        <w:rPr>
          <w:vertAlign w:val="superscript"/>
        </w:rPr>
        <w:t>2</w:t>
      </w:r>
      <w:r w:rsidRPr="000B351A">
        <w:rPr>
          <w:vertAlign w:val="superscript"/>
        </w:rPr>
        <w:t>,</w:t>
      </w:r>
      <w:r>
        <w:rPr>
          <w:vertAlign w:val="superscript"/>
        </w:rPr>
        <w:t>3</w:t>
      </w:r>
      <w:r w:rsidRPr="000B351A">
        <w:t>, Sylvain Sebert</w:t>
      </w:r>
      <w:r w:rsidRPr="000B351A">
        <w:rPr>
          <w:vertAlign w:val="superscript"/>
        </w:rPr>
        <w:t>1,3</w:t>
      </w:r>
      <w:bookmarkEnd w:id="1"/>
      <w:r>
        <w:rPr>
          <w:vertAlign w:val="superscript"/>
        </w:rPr>
        <w:t>2</w:t>
      </w:r>
      <w:r w:rsidRPr="000B351A">
        <w:rPr>
          <w:vertAlign w:val="superscript"/>
        </w:rPr>
        <w:t xml:space="preserve"> #</w:t>
      </w:r>
    </w:p>
    <w:p w14:paraId="31081DBD" w14:textId="77777777" w:rsidR="00B50C09" w:rsidRPr="00E22B14" w:rsidRDefault="00B50C09" w:rsidP="00B50C09">
      <w:pPr>
        <w:rPr>
          <w:vertAlign w:val="superscript"/>
        </w:rPr>
      </w:pPr>
      <w:bookmarkStart w:id="3" w:name="_Hlk30493989"/>
      <w:r>
        <w:t>* Contributed equally to this work</w:t>
      </w:r>
    </w:p>
    <w:bookmarkEnd w:id="3"/>
    <w:p w14:paraId="1F699B6D" w14:textId="77777777" w:rsidR="00B50C09" w:rsidRPr="00E22B14" w:rsidRDefault="00B50C09" w:rsidP="00B50C09">
      <w:pPr>
        <w:pStyle w:val="ListParagraph"/>
        <w:numPr>
          <w:ilvl w:val="0"/>
          <w:numId w:val="5"/>
        </w:numPr>
        <w:tabs>
          <w:tab w:val="left" w:pos="284"/>
        </w:tabs>
        <w:ind w:left="0" w:firstLine="0"/>
      </w:pPr>
      <w:proofErr w:type="spellStart"/>
      <w:r w:rsidRPr="00E22B14">
        <w:t>Center</w:t>
      </w:r>
      <w:proofErr w:type="spellEnd"/>
      <w:r w:rsidRPr="00E22B14">
        <w:t xml:space="preserve"> for Life Course Health Research, University of Oulu, Oulu, Finland</w:t>
      </w:r>
    </w:p>
    <w:p w14:paraId="317C6E2E" w14:textId="77777777" w:rsidR="00B50C09" w:rsidRPr="00E22B14" w:rsidRDefault="00B50C09" w:rsidP="00B50C09">
      <w:pPr>
        <w:pStyle w:val="ListParagraph"/>
        <w:numPr>
          <w:ilvl w:val="0"/>
          <w:numId w:val="5"/>
        </w:numPr>
        <w:tabs>
          <w:tab w:val="left" w:pos="284"/>
        </w:tabs>
        <w:ind w:left="0" w:firstLine="0"/>
      </w:pPr>
      <w:r w:rsidRPr="00E22B14">
        <w:t xml:space="preserve">Generation R Study Group, Erasmus MC, University Medical </w:t>
      </w:r>
      <w:proofErr w:type="spellStart"/>
      <w:r w:rsidRPr="00E22B14">
        <w:t>Center</w:t>
      </w:r>
      <w:proofErr w:type="spellEnd"/>
      <w:r w:rsidRPr="00E22B14">
        <w:t xml:space="preserve"> Rotterdam, Rotterdam, the Netherlands</w:t>
      </w:r>
    </w:p>
    <w:p w14:paraId="0D9B9C6D" w14:textId="77777777" w:rsidR="00B50C09" w:rsidRDefault="00B50C09" w:rsidP="00B50C09">
      <w:pPr>
        <w:pStyle w:val="ListParagraph"/>
        <w:numPr>
          <w:ilvl w:val="0"/>
          <w:numId w:val="5"/>
        </w:numPr>
        <w:tabs>
          <w:tab w:val="left" w:pos="284"/>
        </w:tabs>
        <w:ind w:left="0" w:firstLine="0"/>
      </w:pPr>
      <w:r w:rsidRPr="00E22B14">
        <w:t xml:space="preserve">Department of </w:t>
      </w:r>
      <w:proofErr w:type="spellStart"/>
      <w:r w:rsidRPr="00E22B14">
        <w:t>Pediatrics</w:t>
      </w:r>
      <w:proofErr w:type="spellEnd"/>
      <w:r w:rsidRPr="00E22B14">
        <w:t xml:space="preserve">, Erasmus MC, University Medical </w:t>
      </w:r>
      <w:proofErr w:type="spellStart"/>
      <w:r w:rsidRPr="00E22B14">
        <w:t>Center</w:t>
      </w:r>
      <w:proofErr w:type="spellEnd"/>
      <w:r w:rsidRPr="00E22B14">
        <w:t xml:space="preserve"> Rotterdam, Rotterdam, the Netherlands</w:t>
      </w:r>
    </w:p>
    <w:p w14:paraId="25CCC08A" w14:textId="77777777" w:rsidR="00B50C09" w:rsidRPr="000B351A" w:rsidRDefault="00B50C09" w:rsidP="00B50C09">
      <w:pPr>
        <w:pStyle w:val="ListParagraph"/>
        <w:numPr>
          <w:ilvl w:val="0"/>
          <w:numId w:val="5"/>
        </w:numPr>
        <w:tabs>
          <w:tab w:val="left" w:pos="284"/>
        </w:tabs>
        <w:ind w:left="0" w:firstLine="0"/>
      </w:pPr>
      <w:r w:rsidRPr="000B351A">
        <w:t>School of Natural and Built Environment, Queen’s University Belfast, Belfast, Northern Ireland</w:t>
      </w:r>
    </w:p>
    <w:p w14:paraId="3B0337CA" w14:textId="77777777" w:rsidR="00B50C09" w:rsidRPr="000B351A" w:rsidRDefault="00B50C09" w:rsidP="00B50C09">
      <w:pPr>
        <w:pStyle w:val="ListParagraph"/>
        <w:numPr>
          <w:ilvl w:val="0"/>
          <w:numId w:val="5"/>
        </w:numPr>
        <w:tabs>
          <w:tab w:val="left" w:pos="284"/>
        </w:tabs>
        <w:ind w:left="0" w:firstLine="0"/>
      </w:pPr>
      <w:r w:rsidRPr="000B351A">
        <w:t>Medical Research Council Integrative Epidemiology Unit, Bristol Medical School, Population Health Science, University of Bristol, Bristol, UK</w:t>
      </w:r>
    </w:p>
    <w:p w14:paraId="05800911" w14:textId="77777777" w:rsidR="00B50C09" w:rsidRPr="000B351A" w:rsidRDefault="00B50C09" w:rsidP="00B50C09">
      <w:pPr>
        <w:pStyle w:val="ListParagraph"/>
        <w:numPr>
          <w:ilvl w:val="0"/>
          <w:numId w:val="5"/>
        </w:numPr>
        <w:tabs>
          <w:tab w:val="left" w:pos="284"/>
        </w:tabs>
        <w:ind w:left="0" w:firstLine="0"/>
      </w:pPr>
      <w:r w:rsidRPr="000B351A">
        <w:t>National Institute of Perinatology, Mexico City, Mexico</w:t>
      </w:r>
    </w:p>
    <w:p w14:paraId="1BE88BFF" w14:textId="77777777" w:rsidR="00B50C09" w:rsidRPr="000B351A" w:rsidRDefault="00B50C09" w:rsidP="00B50C09">
      <w:pPr>
        <w:pStyle w:val="ListParagraph"/>
        <w:numPr>
          <w:ilvl w:val="0"/>
          <w:numId w:val="5"/>
        </w:numPr>
        <w:tabs>
          <w:tab w:val="left" w:pos="284"/>
        </w:tabs>
        <w:ind w:left="0" w:firstLine="0"/>
      </w:pPr>
      <w:r w:rsidRPr="000B351A">
        <w:t>Department of Environmental Medicine and Public Health, Icahn School of Medicine at Mount Sinai, New York, NY, USA</w:t>
      </w:r>
    </w:p>
    <w:p w14:paraId="434F7FAA" w14:textId="77777777" w:rsidR="00B50C09" w:rsidRPr="000B351A" w:rsidRDefault="00B50C09" w:rsidP="00B50C09">
      <w:pPr>
        <w:pStyle w:val="ListParagraph"/>
        <w:numPr>
          <w:ilvl w:val="0"/>
          <w:numId w:val="5"/>
        </w:numPr>
        <w:tabs>
          <w:tab w:val="left" w:pos="284"/>
        </w:tabs>
        <w:ind w:left="0" w:firstLine="0"/>
      </w:pPr>
      <w:r w:rsidRPr="000B351A">
        <w:t xml:space="preserve">Institute of Diabetes Research, Helmholtz </w:t>
      </w:r>
      <w:proofErr w:type="spellStart"/>
      <w:r w:rsidRPr="000B351A">
        <w:t>Zentrum</w:t>
      </w:r>
      <w:proofErr w:type="spellEnd"/>
      <w:r w:rsidRPr="000B351A">
        <w:t xml:space="preserve"> München, German Research </w:t>
      </w:r>
      <w:proofErr w:type="spellStart"/>
      <w:r w:rsidRPr="000B351A">
        <w:t>Center</w:t>
      </w:r>
      <w:proofErr w:type="spellEnd"/>
      <w:r w:rsidRPr="000B351A">
        <w:t xml:space="preserve"> for Environmental Health, Munich-</w:t>
      </w:r>
      <w:proofErr w:type="spellStart"/>
      <w:r w:rsidRPr="000B351A">
        <w:t>Neuherberg</w:t>
      </w:r>
      <w:proofErr w:type="spellEnd"/>
      <w:r w:rsidRPr="000B351A">
        <w:t>, Germany</w:t>
      </w:r>
    </w:p>
    <w:p w14:paraId="5BE18847" w14:textId="77777777" w:rsidR="00B50C09" w:rsidRPr="000B351A" w:rsidRDefault="00B50C09" w:rsidP="00B50C09">
      <w:pPr>
        <w:pStyle w:val="ListParagraph"/>
        <w:numPr>
          <w:ilvl w:val="0"/>
          <w:numId w:val="5"/>
        </w:numPr>
        <w:tabs>
          <w:tab w:val="left" w:pos="284"/>
        </w:tabs>
        <w:ind w:left="0" w:firstLine="0"/>
      </w:pPr>
      <w:r w:rsidRPr="000B351A">
        <w:t>PEDEGO Research Unit, MRC Oulu, Oulu University Hospital and University of Oulu, Oulu, Finland</w:t>
      </w:r>
    </w:p>
    <w:p w14:paraId="7635FEBB" w14:textId="77777777" w:rsidR="00B50C09" w:rsidRPr="000B351A" w:rsidRDefault="00B50C09" w:rsidP="00B50C09">
      <w:pPr>
        <w:pStyle w:val="ListParagraph"/>
        <w:numPr>
          <w:ilvl w:val="0"/>
          <w:numId w:val="5"/>
        </w:numPr>
        <w:tabs>
          <w:tab w:val="left" w:pos="284"/>
        </w:tabs>
        <w:ind w:left="0" w:firstLine="0"/>
      </w:pPr>
      <w:r w:rsidRPr="000B351A">
        <w:t>Public Health Promotion Unit, Finnish Institute for Health and Welfare, Helsinki and Oulu, Finland</w:t>
      </w:r>
    </w:p>
    <w:p w14:paraId="107A3E34" w14:textId="77777777" w:rsidR="00B50C09" w:rsidRPr="000B351A" w:rsidRDefault="00B50C09" w:rsidP="00B50C09">
      <w:pPr>
        <w:pStyle w:val="ListParagraph"/>
        <w:numPr>
          <w:ilvl w:val="0"/>
          <w:numId w:val="5"/>
        </w:numPr>
        <w:tabs>
          <w:tab w:val="left" w:pos="284"/>
        </w:tabs>
        <w:ind w:left="0" w:firstLine="0"/>
      </w:pPr>
      <w:r w:rsidRPr="000B351A">
        <w:t xml:space="preserve">Department of Psychology and </w:t>
      </w:r>
      <w:proofErr w:type="spellStart"/>
      <w:r w:rsidRPr="000B351A">
        <w:t>Logopedics</w:t>
      </w:r>
      <w:proofErr w:type="spellEnd"/>
      <w:r w:rsidRPr="000B351A">
        <w:t>, Faculty of Medicine, University of Helsinki, Finland</w:t>
      </w:r>
    </w:p>
    <w:p w14:paraId="3CB10484" w14:textId="77777777" w:rsidR="00B50C09" w:rsidRPr="000B351A" w:rsidRDefault="00B50C09" w:rsidP="00B50C09">
      <w:pPr>
        <w:pStyle w:val="ListParagraph"/>
        <w:numPr>
          <w:ilvl w:val="0"/>
          <w:numId w:val="5"/>
        </w:numPr>
        <w:tabs>
          <w:tab w:val="left" w:pos="284"/>
        </w:tabs>
        <w:ind w:left="0" w:firstLine="0"/>
      </w:pPr>
      <w:r w:rsidRPr="000B351A">
        <w:t xml:space="preserve">Department of Psychiatry and </w:t>
      </w:r>
      <w:proofErr w:type="spellStart"/>
      <w:r w:rsidRPr="000B351A">
        <w:t>Behavioral</w:t>
      </w:r>
      <w:proofErr w:type="spellEnd"/>
      <w:r w:rsidRPr="000B351A">
        <w:t xml:space="preserve"> Sciences, Emory University School of Medicine, USA</w:t>
      </w:r>
    </w:p>
    <w:p w14:paraId="6E071B8F" w14:textId="77777777" w:rsidR="00B50C09" w:rsidRPr="000B351A" w:rsidRDefault="00B50C09" w:rsidP="00B50C09">
      <w:pPr>
        <w:pStyle w:val="ListParagraph"/>
        <w:numPr>
          <w:ilvl w:val="0"/>
          <w:numId w:val="5"/>
        </w:numPr>
        <w:tabs>
          <w:tab w:val="left" w:pos="284"/>
        </w:tabs>
        <w:ind w:left="0" w:firstLine="0"/>
      </w:pPr>
      <w:r w:rsidRPr="000B351A">
        <w:t>Department of Environmental Health Sciences, Columbia University Mailman School of Public Health, New York, New York, USA</w:t>
      </w:r>
    </w:p>
    <w:p w14:paraId="21B93476" w14:textId="77777777" w:rsidR="00B50C09" w:rsidRPr="00E22B14" w:rsidRDefault="00B50C09" w:rsidP="00B50C09">
      <w:pPr>
        <w:pStyle w:val="ListParagraph"/>
        <w:numPr>
          <w:ilvl w:val="0"/>
          <w:numId w:val="5"/>
        </w:numPr>
        <w:tabs>
          <w:tab w:val="left" w:pos="284"/>
        </w:tabs>
        <w:ind w:left="0" w:firstLine="0"/>
      </w:pPr>
      <w:r w:rsidRPr="00E22B14">
        <w:t>School of Pharmacy and Biomedical Sciences, Faculty of Health Sciences, Curtin University, Bentley, Australia</w:t>
      </w:r>
    </w:p>
    <w:p w14:paraId="591E61EA" w14:textId="77777777" w:rsidR="00B50C09" w:rsidRPr="00E22B14" w:rsidRDefault="00B50C09" w:rsidP="00B50C09">
      <w:pPr>
        <w:pStyle w:val="ListParagraph"/>
        <w:numPr>
          <w:ilvl w:val="0"/>
          <w:numId w:val="5"/>
        </w:numPr>
        <w:tabs>
          <w:tab w:val="left" w:pos="284"/>
        </w:tabs>
        <w:ind w:left="0" w:firstLine="0"/>
      </w:pPr>
      <w:r w:rsidRPr="00E22B14">
        <w:t>School of Biomedical Sciences, Faculty of Health and Medical Sciences, The University of Western Australia, Crawley, Australia</w:t>
      </w:r>
    </w:p>
    <w:p w14:paraId="7D9F400C" w14:textId="77777777" w:rsidR="00B50C09" w:rsidRPr="00E22B14" w:rsidRDefault="00B50C09" w:rsidP="00B50C09">
      <w:pPr>
        <w:pStyle w:val="ListParagraph"/>
        <w:numPr>
          <w:ilvl w:val="0"/>
          <w:numId w:val="5"/>
        </w:numPr>
        <w:tabs>
          <w:tab w:val="left" w:pos="284"/>
        </w:tabs>
        <w:ind w:left="0" w:firstLine="0"/>
      </w:pPr>
      <w:r w:rsidRPr="00E22B14">
        <w:t xml:space="preserve">Sorbonne </w:t>
      </w:r>
      <w:proofErr w:type="spellStart"/>
      <w:r w:rsidRPr="00E22B14">
        <w:t>Université</w:t>
      </w:r>
      <w:proofErr w:type="spellEnd"/>
      <w:r w:rsidRPr="00E22B14">
        <w:t xml:space="preserve">, </w:t>
      </w:r>
      <w:proofErr w:type="spellStart"/>
      <w:r w:rsidRPr="00E22B14">
        <w:t>Institut</w:t>
      </w:r>
      <w:proofErr w:type="spellEnd"/>
      <w:r w:rsidRPr="00E22B14">
        <w:t xml:space="preserve"> Pierre Louis </w:t>
      </w:r>
      <w:proofErr w:type="spellStart"/>
      <w:r w:rsidRPr="00E22B14">
        <w:t>d’Épidémiologie</w:t>
      </w:r>
      <w:proofErr w:type="spellEnd"/>
      <w:r w:rsidRPr="00E22B14">
        <w:t xml:space="preserve"> et de Santé </w:t>
      </w:r>
      <w:proofErr w:type="spellStart"/>
      <w:r w:rsidRPr="00E22B14">
        <w:t>Publique</w:t>
      </w:r>
      <w:proofErr w:type="spellEnd"/>
      <w:r w:rsidRPr="00E22B14">
        <w:t xml:space="preserve"> (IPLESP), Paris, France </w:t>
      </w:r>
    </w:p>
    <w:p w14:paraId="6168F7BB" w14:textId="77777777" w:rsidR="00B50C09" w:rsidRPr="00E22B14" w:rsidRDefault="00B50C09" w:rsidP="00B50C09">
      <w:pPr>
        <w:pStyle w:val="ListParagraph"/>
        <w:numPr>
          <w:ilvl w:val="0"/>
          <w:numId w:val="5"/>
        </w:numPr>
        <w:tabs>
          <w:tab w:val="left" w:pos="284"/>
        </w:tabs>
        <w:ind w:left="0" w:firstLine="0"/>
      </w:pPr>
      <w:proofErr w:type="spellStart"/>
      <w:r w:rsidRPr="00E22B14">
        <w:lastRenderedPageBreak/>
        <w:t>Institut</w:t>
      </w:r>
      <w:proofErr w:type="spellEnd"/>
      <w:r w:rsidRPr="00E22B14">
        <w:t xml:space="preserve"> National de la Santé et de la Recherche </w:t>
      </w:r>
      <w:proofErr w:type="spellStart"/>
      <w:r w:rsidRPr="00E22B14">
        <w:t>Médicale</w:t>
      </w:r>
      <w:proofErr w:type="spellEnd"/>
      <w:r w:rsidRPr="00E22B14">
        <w:t xml:space="preserve"> (INSERM) UMR-S 1136, </w:t>
      </w:r>
      <w:proofErr w:type="spellStart"/>
      <w:r w:rsidRPr="00E22B14">
        <w:t>Institut</w:t>
      </w:r>
      <w:proofErr w:type="spellEnd"/>
      <w:r w:rsidRPr="00E22B14">
        <w:t xml:space="preserve"> Pierre Louis </w:t>
      </w:r>
      <w:proofErr w:type="spellStart"/>
      <w:r w:rsidRPr="00E22B14">
        <w:t>d’Épidémiologie</w:t>
      </w:r>
      <w:proofErr w:type="spellEnd"/>
      <w:r w:rsidRPr="00E22B14">
        <w:t xml:space="preserve"> et de Santé </w:t>
      </w:r>
      <w:proofErr w:type="spellStart"/>
      <w:r w:rsidRPr="00E22B14">
        <w:t>Publique</w:t>
      </w:r>
      <w:proofErr w:type="spellEnd"/>
      <w:r w:rsidRPr="00E22B14">
        <w:t xml:space="preserve"> (IPLESP), team EPAR, Paris, France</w:t>
      </w:r>
    </w:p>
    <w:p w14:paraId="12F4A604" w14:textId="77777777" w:rsidR="00B50C09" w:rsidRPr="00E22B14" w:rsidRDefault="00B50C09" w:rsidP="00B50C09">
      <w:pPr>
        <w:pStyle w:val="ListParagraph"/>
        <w:numPr>
          <w:ilvl w:val="0"/>
          <w:numId w:val="5"/>
        </w:numPr>
        <w:tabs>
          <w:tab w:val="left" w:pos="284"/>
        </w:tabs>
        <w:ind w:left="0" w:firstLine="0"/>
      </w:pPr>
      <w:r w:rsidRPr="00E22B14">
        <w:t>Centre for Genomic Regulation (CRG), The Barcelona Institute of Science and Technology, Barcelona, Spain</w:t>
      </w:r>
    </w:p>
    <w:p w14:paraId="4E919C34" w14:textId="77777777" w:rsidR="00B50C09" w:rsidRPr="00E22B14" w:rsidRDefault="00B50C09" w:rsidP="00B50C09">
      <w:pPr>
        <w:pStyle w:val="ListParagraph"/>
        <w:numPr>
          <w:ilvl w:val="0"/>
          <w:numId w:val="5"/>
        </w:numPr>
        <w:tabs>
          <w:tab w:val="left" w:pos="284"/>
        </w:tabs>
        <w:ind w:left="0" w:firstLine="0"/>
      </w:pPr>
      <w:r w:rsidRPr="00E22B14">
        <w:t xml:space="preserve">CIBER </w:t>
      </w:r>
      <w:proofErr w:type="spellStart"/>
      <w:r w:rsidRPr="00E22B14">
        <w:t>Epidemiología</w:t>
      </w:r>
      <w:proofErr w:type="spellEnd"/>
      <w:r w:rsidRPr="00E22B14">
        <w:t xml:space="preserve"> y </w:t>
      </w:r>
      <w:proofErr w:type="spellStart"/>
      <w:r w:rsidRPr="00E22B14">
        <w:t>Salud</w:t>
      </w:r>
      <w:proofErr w:type="spellEnd"/>
      <w:r w:rsidRPr="00E22B14">
        <w:t xml:space="preserve"> </w:t>
      </w:r>
      <w:proofErr w:type="spellStart"/>
      <w:r w:rsidRPr="00E22B14">
        <w:t>Pública</w:t>
      </w:r>
      <w:proofErr w:type="spellEnd"/>
      <w:r w:rsidRPr="00E22B14">
        <w:t xml:space="preserve"> (CIBERESP), Madrid, Spain</w:t>
      </w:r>
    </w:p>
    <w:p w14:paraId="43224BEF" w14:textId="77777777" w:rsidR="00B50C09" w:rsidRPr="00E22B14" w:rsidRDefault="00B50C09" w:rsidP="00B50C09">
      <w:pPr>
        <w:pStyle w:val="ListParagraph"/>
        <w:numPr>
          <w:ilvl w:val="0"/>
          <w:numId w:val="5"/>
        </w:numPr>
        <w:tabs>
          <w:tab w:val="left" w:pos="284"/>
        </w:tabs>
        <w:ind w:left="0" w:firstLine="0"/>
      </w:pPr>
      <w:r w:rsidRPr="00E22B14">
        <w:t>Department of Translational Research in Psychiatry, Max-Planck-Institute of Psychiatry, Munich, Germany</w:t>
      </w:r>
    </w:p>
    <w:p w14:paraId="15C7EFE3" w14:textId="77777777" w:rsidR="00B50C09" w:rsidRPr="00E22B14" w:rsidRDefault="00B50C09" w:rsidP="00B50C09">
      <w:pPr>
        <w:pStyle w:val="ListParagraph"/>
        <w:numPr>
          <w:ilvl w:val="0"/>
          <w:numId w:val="5"/>
        </w:numPr>
        <w:tabs>
          <w:tab w:val="left" w:pos="284"/>
        </w:tabs>
        <w:ind w:left="0" w:firstLine="0"/>
      </w:pPr>
      <w:proofErr w:type="spellStart"/>
      <w:r w:rsidRPr="00E22B14">
        <w:t>ISGlobal</w:t>
      </w:r>
      <w:proofErr w:type="spellEnd"/>
      <w:r w:rsidRPr="00E22B14">
        <w:t>, Barcelona, Spain</w:t>
      </w:r>
    </w:p>
    <w:p w14:paraId="324A85B2" w14:textId="77777777" w:rsidR="00B50C09" w:rsidRPr="00E22B14" w:rsidRDefault="00B50C09" w:rsidP="00B50C09">
      <w:pPr>
        <w:pStyle w:val="ListParagraph"/>
        <w:numPr>
          <w:ilvl w:val="0"/>
          <w:numId w:val="5"/>
        </w:numPr>
        <w:tabs>
          <w:tab w:val="left" w:pos="284"/>
        </w:tabs>
        <w:ind w:left="0" w:firstLine="0"/>
      </w:pPr>
      <w:proofErr w:type="spellStart"/>
      <w:r w:rsidRPr="00E22B14">
        <w:t>Universitat</w:t>
      </w:r>
      <w:proofErr w:type="spellEnd"/>
      <w:r w:rsidRPr="00E22B14">
        <w:t xml:space="preserve"> </w:t>
      </w:r>
      <w:proofErr w:type="spellStart"/>
      <w:r w:rsidRPr="00E22B14">
        <w:t>Pompeu</w:t>
      </w:r>
      <w:proofErr w:type="spellEnd"/>
      <w:r w:rsidRPr="00E22B14">
        <w:t xml:space="preserve"> </w:t>
      </w:r>
      <w:proofErr w:type="spellStart"/>
      <w:r w:rsidRPr="00E22B14">
        <w:t>Fabra</w:t>
      </w:r>
      <w:proofErr w:type="spellEnd"/>
      <w:r w:rsidRPr="00E22B14">
        <w:t xml:space="preserve"> (UPF), Barcelona, Spain, </w:t>
      </w:r>
    </w:p>
    <w:p w14:paraId="6FF7DA46" w14:textId="77777777" w:rsidR="00B50C09" w:rsidRPr="00E22B14" w:rsidRDefault="00B50C09" w:rsidP="00B50C09">
      <w:pPr>
        <w:pStyle w:val="ListParagraph"/>
        <w:numPr>
          <w:ilvl w:val="0"/>
          <w:numId w:val="5"/>
        </w:numPr>
        <w:tabs>
          <w:tab w:val="left" w:pos="284"/>
        </w:tabs>
        <w:ind w:left="0" w:firstLine="0"/>
      </w:pPr>
      <w:r w:rsidRPr="00E22B14">
        <w:t>Department of Child and Adolescent Psychiatry/Psychology, Erasmus University Medical Centre, Sophia Children’s Hospital, Rotterdam, The Netherlands</w:t>
      </w:r>
    </w:p>
    <w:p w14:paraId="127D9CC1" w14:textId="77777777" w:rsidR="00B50C09" w:rsidRPr="00E22B14" w:rsidRDefault="00B50C09" w:rsidP="00B50C09">
      <w:pPr>
        <w:pStyle w:val="ListParagraph"/>
        <w:numPr>
          <w:ilvl w:val="0"/>
          <w:numId w:val="5"/>
        </w:numPr>
        <w:tabs>
          <w:tab w:val="left" w:pos="284"/>
        </w:tabs>
        <w:ind w:left="0" w:firstLine="0"/>
      </w:pPr>
      <w:r w:rsidRPr="00E22B14">
        <w:t>National Institute of Environmental Health Sciences, National Institutes of Health, Department of Health and Human Services, Washington DC, USA</w:t>
      </w:r>
    </w:p>
    <w:p w14:paraId="77F34C2F" w14:textId="77777777" w:rsidR="00B50C09" w:rsidRPr="00E22B14" w:rsidRDefault="00B50C09" w:rsidP="00B50C09">
      <w:pPr>
        <w:pStyle w:val="ListParagraph"/>
        <w:numPr>
          <w:ilvl w:val="0"/>
          <w:numId w:val="5"/>
        </w:numPr>
        <w:tabs>
          <w:tab w:val="left" w:pos="284"/>
        </w:tabs>
        <w:ind w:left="0" w:firstLine="0"/>
      </w:pPr>
      <w:r w:rsidRPr="00E22B14">
        <w:t>Telethon Kids Institute, University of Western Australia, Australia</w:t>
      </w:r>
    </w:p>
    <w:p w14:paraId="4BBEB07E" w14:textId="77777777" w:rsidR="00B50C09" w:rsidRPr="00E22B14" w:rsidRDefault="00B50C09" w:rsidP="00B50C09">
      <w:pPr>
        <w:pStyle w:val="ListParagraph"/>
        <w:numPr>
          <w:ilvl w:val="0"/>
          <w:numId w:val="5"/>
        </w:numPr>
        <w:tabs>
          <w:tab w:val="left" w:pos="284"/>
        </w:tabs>
        <w:ind w:left="0" w:firstLine="0"/>
      </w:pPr>
      <w:proofErr w:type="spellStart"/>
      <w:r w:rsidRPr="00E22B14">
        <w:t>Forschergruppe</w:t>
      </w:r>
      <w:proofErr w:type="spellEnd"/>
      <w:r w:rsidRPr="00E22B14">
        <w:t xml:space="preserve"> Diabetes, Technical University Munich, </w:t>
      </w:r>
      <w:proofErr w:type="spellStart"/>
      <w:r w:rsidRPr="00E22B14">
        <w:t>Klinikum</w:t>
      </w:r>
      <w:proofErr w:type="spellEnd"/>
      <w:r w:rsidRPr="00E22B14">
        <w:t xml:space="preserve"> </w:t>
      </w:r>
      <w:proofErr w:type="spellStart"/>
      <w:r w:rsidRPr="00E22B14">
        <w:t>rechts</w:t>
      </w:r>
      <w:proofErr w:type="spellEnd"/>
      <w:r w:rsidRPr="00E22B14">
        <w:t xml:space="preserve"> der </w:t>
      </w:r>
      <w:proofErr w:type="spellStart"/>
      <w:r w:rsidRPr="00E22B14">
        <w:t>Isar</w:t>
      </w:r>
      <w:proofErr w:type="spellEnd"/>
      <w:r w:rsidRPr="00E22B14">
        <w:t>, Munich-</w:t>
      </w:r>
      <w:proofErr w:type="spellStart"/>
      <w:r w:rsidRPr="00E22B14">
        <w:t>Neuherberg</w:t>
      </w:r>
      <w:proofErr w:type="spellEnd"/>
      <w:r w:rsidRPr="00E22B14">
        <w:t>, Germany</w:t>
      </w:r>
    </w:p>
    <w:p w14:paraId="6D85B0B5" w14:textId="77777777" w:rsidR="00B50C09" w:rsidRPr="00E22B14" w:rsidRDefault="00B50C09" w:rsidP="00B50C09">
      <w:pPr>
        <w:pStyle w:val="ListParagraph"/>
        <w:numPr>
          <w:ilvl w:val="0"/>
          <w:numId w:val="5"/>
        </w:numPr>
        <w:tabs>
          <w:tab w:val="left" w:pos="284"/>
        </w:tabs>
        <w:ind w:left="0" w:firstLine="0"/>
      </w:pPr>
      <w:proofErr w:type="spellStart"/>
      <w:r w:rsidRPr="00E22B14">
        <w:t>Forschergruppe</w:t>
      </w:r>
      <w:proofErr w:type="spellEnd"/>
      <w:r w:rsidRPr="00E22B14">
        <w:t xml:space="preserve"> Diabetes </w:t>
      </w:r>
      <w:proofErr w:type="spellStart"/>
      <w:r w:rsidRPr="00E22B14">
        <w:t>e.V</w:t>
      </w:r>
      <w:proofErr w:type="spellEnd"/>
      <w:r w:rsidRPr="00E22B14">
        <w:t xml:space="preserve">., Helmholtz </w:t>
      </w:r>
      <w:proofErr w:type="spellStart"/>
      <w:r w:rsidRPr="00E22B14">
        <w:t>Zentrum</w:t>
      </w:r>
      <w:proofErr w:type="spellEnd"/>
      <w:r w:rsidRPr="00E22B14">
        <w:t xml:space="preserve"> München, Munich-</w:t>
      </w:r>
      <w:proofErr w:type="spellStart"/>
      <w:r w:rsidRPr="00E22B14">
        <w:t>Neuherberg</w:t>
      </w:r>
      <w:proofErr w:type="spellEnd"/>
      <w:r w:rsidRPr="00E22B14">
        <w:t>, Germany</w:t>
      </w:r>
    </w:p>
    <w:p w14:paraId="3CD8EEEA" w14:textId="77777777" w:rsidR="00B50C09" w:rsidRPr="00E22B14" w:rsidRDefault="00B50C09" w:rsidP="00B50C09">
      <w:pPr>
        <w:pStyle w:val="ListParagraph"/>
        <w:numPr>
          <w:ilvl w:val="0"/>
          <w:numId w:val="5"/>
        </w:numPr>
        <w:tabs>
          <w:tab w:val="left" w:pos="284"/>
        </w:tabs>
        <w:ind w:left="0" w:firstLine="0"/>
      </w:pPr>
      <w:r w:rsidRPr="00E22B14">
        <w:t>Department of Clinical and Molecular Medicine, Norwegian University of Science and Technology, Trondheim, Norway</w:t>
      </w:r>
    </w:p>
    <w:p w14:paraId="695254DB" w14:textId="77777777" w:rsidR="00B50C09" w:rsidRPr="00E22B14" w:rsidRDefault="00B50C09" w:rsidP="00B50C09">
      <w:pPr>
        <w:pStyle w:val="ListParagraph"/>
        <w:numPr>
          <w:ilvl w:val="0"/>
          <w:numId w:val="5"/>
        </w:numPr>
        <w:tabs>
          <w:tab w:val="left" w:pos="284"/>
        </w:tabs>
        <w:ind w:left="0" w:firstLine="0"/>
      </w:pPr>
      <w:r w:rsidRPr="00E22B14">
        <w:t>Children's Hospital, Helsinki University Hospital and University of Helsinki, Helsinki, Finland</w:t>
      </w:r>
    </w:p>
    <w:p w14:paraId="168E4B33" w14:textId="77777777" w:rsidR="00B50C09" w:rsidRPr="00E22B14" w:rsidRDefault="00B50C09" w:rsidP="00B50C09">
      <w:pPr>
        <w:pStyle w:val="ListParagraph"/>
        <w:numPr>
          <w:ilvl w:val="0"/>
          <w:numId w:val="5"/>
        </w:numPr>
        <w:tabs>
          <w:tab w:val="left" w:pos="284"/>
        </w:tabs>
        <w:ind w:left="0" w:firstLine="0"/>
      </w:pPr>
      <w:r w:rsidRPr="00E22B14">
        <w:t>Turku Institute for Advanced Studies, University of Turku, Turku, Finland</w:t>
      </w:r>
    </w:p>
    <w:p w14:paraId="6BE79DBF" w14:textId="77777777" w:rsidR="00B50C09" w:rsidRPr="00E22B14" w:rsidRDefault="00B50C09" w:rsidP="00B50C09">
      <w:pPr>
        <w:pStyle w:val="ListParagraph"/>
        <w:numPr>
          <w:ilvl w:val="0"/>
          <w:numId w:val="5"/>
        </w:numPr>
        <w:tabs>
          <w:tab w:val="left" w:pos="284"/>
        </w:tabs>
        <w:ind w:left="0" w:firstLine="0"/>
      </w:pPr>
      <w:r w:rsidRPr="00E22B14">
        <w:t>Department of Epidemiology and Biostatistics, School of Public Health, Imperial College London, London, United Kingdom</w:t>
      </w:r>
    </w:p>
    <w:p w14:paraId="2F9B8766" w14:textId="77777777" w:rsidR="00B50C09" w:rsidRPr="00E22B14" w:rsidRDefault="00B50C09" w:rsidP="00B50C09">
      <w:pPr>
        <w:pStyle w:val="ListParagraph"/>
        <w:numPr>
          <w:ilvl w:val="0"/>
          <w:numId w:val="5"/>
        </w:numPr>
        <w:tabs>
          <w:tab w:val="left" w:pos="284"/>
        </w:tabs>
        <w:ind w:left="0" w:firstLine="0"/>
      </w:pPr>
      <w:r w:rsidRPr="00E22B14">
        <w:t>Department for Genomics of Common Diseases, School of Medicine, Imperial College London, London United Kingdom</w:t>
      </w:r>
    </w:p>
    <w:p w14:paraId="7CA613D1" w14:textId="77777777" w:rsidR="00B50C09" w:rsidRDefault="00B50C09" w:rsidP="00B50C09">
      <w:pPr>
        <w:tabs>
          <w:tab w:val="left" w:pos="284"/>
        </w:tabs>
      </w:pPr>
    </w:p>
    <w:p w14:paraId="0A5328DF" w14:textId="77777777" w:rsidR="00B50C09" w:rsidRPr="005D1145" w:rsidRDefault="00B50C09" w:rsidP="00B50C09">
      <w:pPr>
        <w:tabs>
          <w:tab w:val="left" w:pos="284"/>
        </w:tabs>
      </w:pPr>
      <w:r w:rsidRPr="005D1145">
        <w:t># Corresponding author</w:t>
      </w:r>
    </w:p>
    <w:p w14:paraId="3353B4E0" w14:textId="77777777" w:rsidR="00B50C09" w:rsidRDefault="00B50C09" w:rsidP="00B50C09">
      <w:pPr>
        <w:tabs>
          <w:tab w:val="left" w:pos="284"/>
        </w:tabs>
        <w:spacing w:after="0"/>
      </w:pPr>
      <w:r>
        <w:t xml:space="preserve">Professor Sylvain Sebert, </w:t>
      </w:r>
    </w:p>
    <w:p w14:paraId="2D4EC241" w14:textId="77777777" w:rsidR="00B50C09" w:rsidRDefault="00B50C09" w:rsidP="00B50C09">
      <w:pPr>
        <w:tabs>
          <w:tab w:val="left" w:pos="284"/>
        </w:tabs>
        <w:spacing w:after="0"/>
      </w:pPr>
      <w:proofErr w:type="spellStart"/>
      <w:r>
        <w:t>Center</w:t>
      </w:r>
      <w:proofErr w:type="spellEnd"/>
      <w:r>
        <w:t xml:space="preserve"> for Life Course Health Research, </w:t>
      </w:r>
    </w:p>
    <w:p w14:paraId="417EF907" w14:textId="77777777" w:rsidR="00B50C09" w:rsidRDefault="00B50C09" w:rsidP="00B50C09">
      <w:pPr>
        <w:tabs>
          <w:tab w:val="left" w:pos="284"/>
        </w:tabs>
        <w:spacing w:after="0"/>
      </w:pPr>
      <w:r>
        <w:t xml:space="preserve">Faculty of Medicine, </w:t>
      </w:r>
    </w:p>
    <w:p w14:paraId="3F244AF9" w14:textId="77777777" w:rsidR="00B50C09" w:rsidRDefault="00B50C09" w:rsidP="00B50C09">
      <w:pPr>
        <w:tabs>
          <w:tab w:val="left" w:pos="284"/>
        </w:tabs>
        <w:spacing w:after="0"/>
      </w:pPr>
      <w:r>
        <w:t xml:space="preserve">University of Oulu, </w:t>
      </w:r>
    </w:p>
    <w:p w14:paraId="6E5D0C98" w14:textId="77777777" w:rsidR="00B50C09" w:rsidRDefault="00B50C09" w:rsidP="00B50C09">
      <w:pPr>
        <w:tabs>
          <w:tab w:val="left" w:pos="284"/>
        </w:tabs>
        <w:spacing w:after="0"/>
      </w:pPr>
      <w:r>
        <w:t xml:space="preserve">90114 Oulu </w:t>
      </w:r>
    </w:p>
    <w:p w14:paraId="02B910C5" w14:textId="77777777" w:rsidR="00B50C09" w:rsidRDefault="00B50C09" w:rsidP="00B50C09">
      <w:pPr>
        <w:tabs>
          <w:tab w:val="left" w:pos="284"/>
        </w:tabs>
        <w:spacing w:after="0"/>
      </w:pPr>
      <w:r>
        <w:t xml:space="preserve">Finland </w:t>
      </w:r>
    </w:p>
    <w:p w14:paraId="10C4F843" w14:textId="77777777" w:rsidR="00B50C09" w:rsidRDefault="00FE02DB" w:rsidP="00B50C09">
      <w:pPr>
        <w:tabs>
          <w:tab w:val="left" w:pos="284"/>
        </w:tabs>
        <w:spacing w:after="0"/>
      </w:pPr>
      <w:hyperlink r:id="rId9" w:history="1">
        <w:r w:rsidR="00B50C09" w:rsidRPr="000C0830">
          <w:rPr>
            <w:rStyle w:val="Hyperlink"/>
          </w:rPr>
          <w:t>Sylvain.Sebert@oulu.fi</w:t>
        </w:r>
      </w:hyperlink>
    </w:p>
    <w:p w14:paraId="6F74D9A3" w14:textId="77777777" w:rsidR="00B50C09" w:rsidRDefault="00B50C09" w:rsidP="00B50C09">
      <w:pPr>
        <w:tabs>
          <w:tab w:val="left" w:pos="284"/>
        </w:tabs>
        <w:spacing w:after="0"/>
      </w:pPr>
      <w:r>
        <w:t>Tel. 00358 503 440842</w:t>
      </w:r>
      <w:bookmarkEnd w:id="0"/>
    </w:p>
    <w:p w14:paraId="3D3F7895" w14:textId="77777777" w:rsidR="002F2CCB" w:rsidRPr="00F774A6" w:rsidRDefault="002F2CCB" w:rsidP="00CA7657">
      <w:pPr>
        <w:pStyle w:val="Heading1"/>
      </w:pPr>
      <w:r w:rsidRPr="00F774A6">
        <w:br w:type="page"/>
      </w:r>
      <w:r w:rsidR="009B6226" w:rsidRPr="00F774A6">
        <w:lastRenderedPageBreak/>
        <w:t>ALSPAC – Avon Longitudinal Study of Parents and Children</w:t>
      </w:r>
    </w:p>
    <w:p w14:paraId="4701C3DF" w14:textId="3D486C69" w:rsidR="00D35B79" w:rsidRPr="00F22C77" w:rsidRDefault="00DF2DF1" w:rsidP="00CA7657">
      <w:r>
        <w:t>The ALSPAC</w:t>
      </w:r>
      <w:r w:rsidR="00AD1B5A">
        <w:t xml:space="preserve"> </w:t>
      </w:r>
      <w:r w:rsidR="00AD1B5A">
        <w:fldChar w:fldCharType="begin" w:fldLock="1"/>
      </w:r>
      <w:r w:rsidR="00AD1B5A">
        <w:instrText>ADDIN CSL_CITATION {"citationItems":[{"id":"ITEM-1","itemData":{"DOI":"10.1093/ije/dys064","ISSN":"1464-3685 (Electronic)","PMID":"22507743","abstract":"The Avon Longitudinal Study of Parents and Children (ALSPAC) is a transgenerational prospective observational study investigating influences on health and development across the life course. It considers multiple genetic, epigenetic, biological, psychological, social and other environmental exposures in relation to a similarly diverse range of health, social and developmental outcomes. Recruitment sought to enroll pregnant women in the Bristol area of the UK during 1990-92; this was extended to include additional children eligible using the original enrollment definition up to the age of 18 years. The children from 14541 pregnancies were recruited in 1990-92, increasing to 15247 pregnancies by the age of 18 years. This cohort profile describes the index children of these pregnancies. Follow-up includes 59 questionnaires (4 weeks-18 years of age) and 9 clinical assessment visits (7-17 years of age). The resource comprises a wide range of phenotypic and environmental measures in addition to biological samples, genetic (DNA on 11343 children, genome-wide data on 8365 children, complete genome sequencing on 2000 children) and epigenetic (methylation sampling on 1000 children) information and linkage to health and administrative records. Data access is described in this article and is currently set up as a supported access resource. To date, over 700 peer-reviewed articles have been published using ALSPAC data.","author":[{"dropping-particle":"","family":"Boyd","given":"Andy","non-dropping-particle":"","parse-names":false,"suffix":""},{"dropping-particle":"","family":"Golding","given":"Jean","non-dropping-particle":"","parse-names":false,"suffix":""},{"dropping-particle":"","family":"Macleod","given":"John","non-dropping-particle":"","parse-names":false,"suffix":""},{"dropping-particle":"","family":"Lawlor","given":"Debbie A","non-dropping-particle":"","parse-names":false,"suffix":""},{"dropping-particle":"","family":"Fraser","given":"Abigail","non-dropping-particle":"","parse-names":false,"suffix":""},{"dropping-particle":"","family":"Henderson","given":"John","non-dropping-particle":"","parse-names":false,"suffix":""},{"dropping-particle":"","family":"Molloy","given":"Lynn","non-dropping-particle":"","parse-names":false,"suffix":""},{"dropping-particle":"","family":"Ness","given":"Andy","non-dropping-particle":"","parse-names":false,"suffix":""},{"dropping-particle":"","family":"Ring","given":"Susan","non-dropping-particle":"","parse-names":false,"suffix":""},{"dropping-particle":"","family":"Davey Smith","given":"George","non-dropping-particle":"","parse-names":false,"suffix":""}],"container-title":"International journal of epidemiology","id":"ITEM-1","issue":"1","issued":{"date-parts":[["2013","2"]]},"language":"eng","page":"111-127","publisher-place":"England","title":"Cohort Profile: the 'children of the 90s'--the index offspring of the Avon Longitudinal Study of Parents and Children.","type":"article-journal","volume":"42"},"uris":["http://www.mendeley.com/documents/?uuid=3ec11782-fb8d-4ceb-9e1a-f840a4a51a49"]},{"id":"ITEM-2","itemData":{"DOI":"10.1093/ije/dys066","ISSN":"1464-3685 (Electronic)","PMID":"22507742","abstract":"Summary The Avon Longitudinal Study of Children and Parents (ALSPAC) was established to understand how genetic and environmental characteristics influence health and development in parents and children. All pregnant women resident in a defined area in the South West of England, with an expected date of delivery between 1st April 1991 and 31st December 1992, were eligible and 13761 women (contributing 13867 pregnancies) were recruited. These women have been followed over the last 19-22 years and have completed up to 20 questionnaires, have had detailed data abstracted from their medical records and have information on any cancer diagnoses and deaths through record linkage. A follow-up assessment was completed 17-18 years postnatal at which anthropometry, blood pressure, fat, lean and bone mass and carotid intima media thickness were assessed, and a fasting blood sample taken. The second follow-up clinic, which additionally measures cognitive function, physical capability, physical activity (with accelerometer) and wrist bone architecture, is underway and two further assessments with similar measurements will take place over the next 5 years. There is a detailed biobank that includes DNA, with genome-wide data available on &gt;10000, stored serum and plasma taken repeatedly since pregnancy and other samples; a wide range of data on completed biospecimen assays are available. Details of how to access these data are provided in this cohort profile.","author":[{"dropping-particle":"","family":"Fraser","given":"Abigail","non-dropping-particle":"","parse-names":false,"suffix":""},{"dropping-particle":"","family":"Macdonald-Wallis","given":"Corrie","non-dropping-particle":"","parse-names":false,"suffix":""},{"dropping-particle":"","family":"Tilling","given":"Kate","non-dropping-particle":"","parse-names":false,"suffix":""},{"dropping-particle":"","family":"Boyd","given":"Andy","non-dropping-particle":"","parse-names":false,"suffix":""},{"dropping-particle":"","family":"Golding","given":"Jean","non-dropping-particle":"","parse-names":false,"suffix":""},{"dropping-particle":"","family":"Davey Smith","given":"George","non-dropping-particle":"","parse-names":false,"suffix":""},{"dropping-particle":"","family":"Henderson","given":"John","non-dropping-particle":"","parse-names":false,"suffix":""},{"dropping-particle":"","family":"Macleod","given":"John","non-dropping-particle":"","parse-names":false,"suffix":""},{"dropping-particle":"","family":"Molloy","given":"Lynn","non-dropping-particle":"","parse-names":false,"suffix":""},{"dropping-particle":"","family":"Ness","given":"Andy","non-dropping-particle":"","parse-names":false,"suffix":""},{"dropping-particle":"","family":"Ring","given":"Susan","non-dropping-particle":"","parse-names":false,"suffix":""},{"dropping-particle":"","family":"Nelson","given":"Scott M","non-dropping-particle":"","parse-names":false,"suffix":""},{"dropping-particle":"","family":"Lawlor","given":"Debbie A","non-dropping-particle":"","parse-names":false,"suffix":""}],"container-title":"International journal of epidemiology","id":"ITEM-2","issue":"1","issued":{"date-parts":[["2013","2"]]},"language":"eng","page":"97-110","publisher-place":"England","title":"Cohort Profile: the Avon Longitudinal Study of Parents and Children: ALSPAC mothers cohort.","type":"article-journal","volume":"42"},"uris":["http://www.mendeley.com/documents/?uuid=c31c6d4d-0e24-4c75-8c97-36082bd437e2"]}],"mendeley":{"formattedCitation":"&lt;span style=\"baseline\"&gt;(1,2)&lt;/span&gt;","plainTextFormattedCitation":"(1,2)","previouslyFormattedCitation":"&lt;span style=\"baseline\"&gt;(1,2)&lt;/span&gt;"},"properties":{"noteIndex":0},"schema":"https://github.com/citation-style-language/schema/raw/master/csl-citation.json"}</w:instrText>
      </w:r>
      <w:r w:rsidR="00AD1B5A">
        <w:fldChar w:fldCharType="separate"/>
      </w:r>
      <w:r w:rsidR="00AD1B5A" w:rsidRPr="00AD1B5A">
        <w:rPr>
          <w:noProof/>
        </w:rPr>
        <w:t>(1,2)</w:t>
      </w:r>
      <w:r w:rsidR="00AD1B5A">
        <w:fldChar w:fldCharType="end"/>
      </w:r>
      <w:r w:rsidR="005A3740">
        <w:t xml:space="preserve"> </w:t>
      </w:r>
      <w:r>
        <w:t>participants included in the study were from the core sample, singletons, and of self-reported white ethnicity.</w:t>
      </w:r>
      <w:r w:rsidR="005A3740">
        <w:t xml:space="preserve"> S</w:t>
      </w:r>
      <w:r>
        <w:t>tudy website contains details of all the data that is available through a fully searchable data dictionary (</w:t>
      </w:r>
      <w:hyperlink r:id="rId10" w:history="1">
        <w:r w:rsidR="005A3740" w:rsidRPr="00D84FF1">
          <w:rPr>
            <w:rStyle w:val="Hyperlink"/>
          </w:rPr>
          <w:t>http://www.bris.ac.uk/alspac/researchers/data-access/data-dictionary/</w:t>
        </w:r>
      </w:hyperlink>
      <w:r>
        <w:t>).</w:t>
      </w:r>
      <w:r w:rsidR="005A3740">
        <w:t xml:space="preserve"> </w:t>
      </w:r>
      <w:r w:rsidR="00D35B79" w:rsidRPr="00D35B79">
        <w:t xml:space="preserve">Ethical approval for the study was obtained from the ALSPAC Ethics and Law Committee and the Local Research </w:t>
      </w:r>
      <w:r w:rsidR="00D35B79" w:rsidRPr="00F22C77">
        <w:t xml:space="preserve">Ethics Committees. </w:t>
      </w:r>
    </w:p>
    <w:p w14:paraId="29C41063" w14:textId="4D805DA9" w:rsidR="005A3740" w:rsidRDefault="00DF2DF1" w:rsidP="00CA7657">
      <w:r w:rsidRPr="00F22C77">
        <w:t>Neonatal blo</w:t>
      </w:r>
      <w:r>
        <w:t>od DNA methylation was measured using the Illumina Human Methylation450 platform within the ARIES project (</w:t>
      </w:r>
      <w:hyperlink r:id="rId11" w:history="1">
        <w:r w:rsidR="005A3740" w:rsidRPr="00D84FF1">
          <w:rPr>
            <w:rStyle w:val="Hyperlink"/>
          </w:rPr>
          <w:t>http://www.ariesepigenomics.org.uk</w:t>
        </w:r>
      </w:hyperlink>
      <w:r w:rsidR="005A3740">
        <w:t>)</w:t>
      </w:r>
      <w:r w:rsidR="00AD1B5A">
        <w:t xml:space="preserve"> </w:t>
      </w:r>
      <w:r w:rsidR="00AD1B5A">
        <w:fldChar w:fldCharType="begin" w:fldLock="1"/>
      </w:r>
      <w:r w:rsidR="00AD1B5A">
        <w:instrText>ADDIN CSL_CITATION {"citationItems":[{"id":"ITEM-1","itemData":{"DOI":"10.1093/ije/dyv072","ISSN":"1464-3685 (Electronic)","PMID":"25991711","author":[{"dropping-particle":"","family":"Relton","given":"Caroline L","non-dropping-particle":"","parse-names":false,"suffix":""},{"dropping-particle":"","family":"Gaunt","given":"Tom","non-dropping-particle":"","parse-names":false,"suffix":""},{"dropping-particle":"","family":"McArdle","given":"Wendy","non-dropping-particle":"","parse-names":false,"suffix":""},{"dropping-particle":"","family":"Ho","given":"Karen","non-dropping-particle":"","parse-names":false,"suffix":""},{"dropping-particle":"","family":"Duggirala","given":"Aparna","non-dropping-particle":"","parse-names":false,"suffix":""},{"dropping-particle":"","family":"Shihab","given":"Hashem","non-dropping-particle":"","parse-names":false,"suffix":""},{"dropping-particle":"","family":"Woodward","given":"Geoff","non-dropping-particle":"","parse-names":false,"suffix":""},{"dropping-particle":"","family":"Lyttleton","given":"Oliver","non-dropping-particle":"","parse-names":false,"suffix":""},{"dropping-particle":"","family":"Evans","given":"David M","non-dropping-particle":"","parse-names":false,"suffix":""},{"dropping-particle":"","family":"Reik","given":"Wolf","non-dropping-particle":"","parse-names":false,"suffix":""},{"dropping-particle":"","family":"Paul","given":"Yu-Lee","non-dropping-particle":"","parse-names":false,"suffix":""},{"dropping-particle":"","family":"Ficz","given":"Gabriella","non-dropping-particle":"","parse-names":false,"suffix":""},{"dropping-particle":"","family":"Ozanne","given":"Susan E","non-dropping-particle":"","parse-names":false,"suffix":""},{"dropping-particle":"","family":"Wipat","given":"Anil","non-dropping-particle":"","parse-names":false,"suffix":""},{"dropping-particle":"","family":"Flanagan","given":"Keith","non-dropping-particle":"","parse-names":false,"suffix":""},{"dropping-particle":"","family":"Lister","given":"Allyson","non-dropping-particle":"","parse-names":false,"suffix":""},{"dropping-particle":"","family":"Heijmans","given":"Bastiaan T","non-dropping-particle":"","parse-names":false,"suffix":""},{"dropping-particle":"","family":"Ring","given":"Susan M","non-dropping-particle":"","parse-names":false,"suffix":""},{"dropping-particle":"","family":"Davey Smith","given":"George","non-dropping-particle":"","parse-names":false,"suffix":""}],"container-title":"International journal of epidemiology","id":"ITEM-1","issue":"4","issued":{"date-parts":[["2015","8"]]},"language":"eng","page":"1181-1190","publisher-place":"England","title":"Data Resource Profile: Accessible Resource for Integrated Epigenomic Studies (ARIES).","type":"article-journal","volume":"44"},"uris":["http://www.mendeley.com/documents/?uuid=94ea85b0-91a6-4cc5-a074-0b821c13f4fc"]}],"mendeley":{"formattedCitation":"&lt;span style=\"baseline\"&gt;(3)&lt;/span&gt;","plainTextFormattedCitation":"(3)","previouslyFormattedCitation":"&lt;span style=\"baseline\"&gt;(3)&lt;/span&gt;"},"properties":{"noteIndex":0},"schema":"https://github.com/citation-style-language/schema/raw/master/csl-citation.json"}</w:instrText>
      </w:r>
      <w:r w:rsidR="00AD1B5A">
        <w:fldChar w:fldCharType="separate"/>
      </w:r>
      <w:r w:rsidR="00AD1B5A" w:rsidRPr="00AD1B5A">
        <w:rPr>
          <w:noProof/>
        </w:rPr>
        <w:t>(3)</w:t>
      </w:r>
      <w:r w:rsidR="00AD1B5A">
        <w:fldChar w:fldCharType="end"/>
      </w:r>
      <w:r w:rsidR="00AD1B5A">
        <w:t xml:space="preserve"> </w:t>
      </w:r>
      <w:r>
        <w:t xml:space="preserve">in white cells extracted from cord blood and in cord blood spots, in white cells extracted from peripheral blood at later ages or in whole peripheral blood, depending on sample availability. Briefly, DNA samples were bisulphite converted using the </w:t>
      </w:r>
      <w:proofErr w:type="spellStart"/>
      <w:r>
        <w:t>Zymo</w:t>
      </w:r>
      <w:proofErr w:type="spellEnd"/>
      <w:r>
        <w:t xml:space="preserve"> EZ DNA </w:t>
      </w:r>
      <w:proofErr w:type="spellStart"/>
      <w:r>
        <w:t>methylationTM</w:t>
      </w:r>
      <w:proofErr w:type="spellEnd"/>
      <w:r>
        <w:t xml:space="preserve"> kit (</w:t>
      </w:r>
      <w:proofErr w:type="spellStart"/>
      <w:r>
        <w:t>Zymo</w:t>
      </w:r>
      <w:proofErr w:type="spellEnd"/>
      <w:r>
        <w:t xml:space="preserve">, Irvine, CA), loaded onto Illumina Human Methylation 450K </w:t>
      </w:r>
      <w:proofErr w:type="spellStart"/>
      <w:r>
        <w:t>BeadChip</w:t>
      </w:r>
      <w:proofErr w:type="spellEnd"/>
      <w:r>
        <w:t xml:space="preserve"> arrays which were then scanned using an Illumina </w:t>
      </w:r>
      <w:proofErr w:type="spellStart"/>
      <w:r>
        <w:t>iScan</w:t>
      </w:r>
      <w:proofErr w:type="spellEnd"/>
      <w:r>
        <w:t xml:space="preserve">, with initial quality review using </w:t>
      </w:r>
      <w:proofErr w:type="spellStart"/>
      <w:r>
        <w:t>GenomeStudio</w:t>
      </w:r>
      <w:proofErr w:type="spellEnd"/>
      <w:r>
        <w:t xml:space="preserve">. We used functional normalisation implemented in the R package </w:t>
      </w:r>
      <w:proofErr w:type="spellStart"/>
      <w:r w:rsidRPr="006D06D3">
        <w:rPr>
          <w:i/>
        </w:rPr>
        <w:t>meffil</w:t>
      </w:r>
      <w:proofErr w:type="spellEnd"/>
      <w:r>
        <w:t xml:space="preserve"> </w:t>
      </w:r>
      <w:r w:rsidR="00AD1B5A">
        <w:fldChar w:fldCharType="begin" w:fldLock="1"/>
      </w:r>
      <w:r w:rsidR="00AD1B5A">
        <w:instrText>ADDIN CSL_CITATION {"citationItems":[{"id":"ITEM-1","itemData":{"DOI":"10.1093/bioinformatics/bty476","ISSN":"1367-4811 (Electronic)","PMID":"29931280","abstract":"Motivation: DNA methylation datasets are growing ever larger both in sample size and genome coverage. Novel computational solutions are required to efficiently handle these data. Results: We have developed meffil, an R package designed for efficient quality control, normalization and epigenome-wide association studies of large samples of Illumina Methylation BeadChip microarrays. A complete re-implementation of functional normalization minimizes computational memory without increasing running time. Incorporating fixed and random effects within functional normalization, and automated estimation of functional normalization parameters reduces technical variation in DNA methylation levels, thus reducing false positive rates and improving power. Support for normalization of datasets distributed across physically different locations without needing to share biologically-based individual-level data means that meffil can be used to reduce heterogeneity in meta- analyses of epigenome-wide association studies. Availability and implementation: https://github.com/perishky/meffil/. Supplementary information: Supplementary data are available at Bioinformatics online.","author":[{"dropping-particle":"","family":"Min","given":"J L","non-dropping-particle":"","parse-names":false,"suffix":""},{"dropping-particle":"","family":"Hemani","given":"G","non-dropping-particle":"","parse-names":false,"suffix":""},{"dropping-particle":"","family":"Davey Smith","given":"G","non-dropping-particle":"","parse-names":false,"suffix":""},{"dropping-particle":"","family":"Relton","given":"C","non-dropping-particle":"","parse-names":false,"suffix":""},{"dropping-particle":"","family":"Suderman","given":"M","non-dropping-particle":"","parse-names":false,"suffix":""}],"container-title":"Bioinformatics (Oxford, England)","id":"ITEM-1","issue":"23","issued":{"date-parts":[["2018","12"]]},"language":"eng","page":"3983-3989","publisher-place":"England","title":"Meffil: efficient normalization and analysis of very large DNA methylation datasets.","type":"article-journal","volume":"34"},"uris":["http://www.mendeley.com/documents/?uuid=abbe3e4d-2fd5-4c4f-bdda-00e8b2185365"]}],"mendeley":{"formattedCitation":"&lt;span style=\"baseline\"&gt;(4)&lt;/span&gt;","plainTextFormattedCitation":"(4)","previouslyFormattedCitation":"&lt;span style=\"baseline\"&gt;(4)&lt;/span&gt;"},"properties":{"noteIndex":0},"schema":"https://github.com/citation-style-language/schema/raw/master/csl-citation.json"}</w:instrText>
      </w:r>
      <w:r w:rsidR="00AD1B5A">
        <w:fldChar w:fldCharType="separate"/>
      </w:r>
      <w:r w:rsidR="00AD1B5A" w:rsidRPr="00AD1B5A">
        <w:rPr>
          <w:noProof/>
        </w:rPr>
        <w:t>(4)</w:t>
      </w:r>
      <w:r w:rsidR="00AD1B5A">
        <w:fldChar w:fldCharType="end"/>
      </w:r>
      <w:r w:rsidR="00AD1B5A">
        <w:t xml:space="preserve"> </w:t>
      </w:r>
      <w:r>
        <w:t xml:space="preserve">to normalise the data, which is a between-array normalisation method and an extension to quantile normalisation. The normalisation procedure was applied to the Methylated and Unmethylated intensities separately, and to type I and type II signals separately. For the probes on the X and Y chromosomes, males and females were normalised separately using the gender information. For the Y chromosome, standard quantile normalisation was used due to the small number of probes, which results in instability for functional normalisation. As we observed dye bias and background signal based on the negative probes we used a background correction and a dye-bias correction. We also regressed out slide on the raw betas before normalisation and on the control matrix. For each sample the proportion of DNA molecules methylated at each CpG site is represented as a beta value 4. Samples with &gt;20% probes with p-value &gt;= 0.01 were scheduled for repeat assay. Where replicates were available we kept in the analysis the sample with the highest number of detected probes. QC was performed based on the </w:t>
      </w:r>
      <w:proofErr w:type="spellStart"/>
      <w:r w:rsidRPr="006D06D3">
        <w:rPr>
          <w:i/>
        </w:rPr>
        <w:t>meffil</w:t>
      </w:r>
      <w:proofErr w:type="spellEnd"/>
      <w:r w:rsidRPr="00111A26">
        <w:t xml:space="preserve"> </w:t>
      </w:r>
      <w:r>
        <w:t xml:space="preserve">report. Genotype probes were compared between samples from the same individual and against SNP-chip data to identify and remove any sample mismatches. Cell counts were estimated using </w:t>
      </w:r>
      <w:proofErr w:type="spellStart"/>
      <w:r w:rsidRPr="00111A26">
        <w:rPr>
          <w:i/>
        </w:rPr>
        <w:t>meffil</w:t>
      </w:r>
      <w:proofErr w:type="spellEnd"/>
      <w:r>
        <w:t xml:space="preserve"> using the Houseman procedure (with </w:t>
      </w:r>
      <w:proofErr w:type="spellStart"/>
      <w:r>
        <w:t>Bakulski</w:t>
      </w:r>
      <w:proofErr w:type="spellEnd"/>
      <w:r>
        <w:t xml:space="preserve"> reference set for cord blood). </w:t>
      </w:r>
      <w:r>
        <w:lastRenderedPageBreak/>
        <w:t xml:space="preserve">Adjustment for batch in all analysis was performed by including 10 surrogate variables generated using the </w:t>
      </w:r>
      <w:proofErr w:type="spellStart"/>
      <w:r w:rsidRPr="00111A26">
        <w:rPr>
          <w:i/>
        </w:rPr>
        <w:t>sva</w:t>
      </w:r>
      <w:proofErr w:type="spellEnd"/>
      <w:r>
        <w:t xml:space="preserve"> R package </w:t>
      </w:r>
      <w:r w:rsidR="00AD1B5A">
        <w:fldChar w:fldCharType="begin" w:fldLock="1"/>
      </w:r>
      <w:r w:rsidR="00AD1B5A">
        <w:instrText>ADDIN CSL_CITATION {"citationItems":[{"id":"ITEM-1","itemData":{"DOI":"10.1093/bioinformatics/bts034","ISSN":"1367-4811 (Electronic)","PMID":"22257669","abstract":"Heterogeneity and latent variables are now widely recognized as major sources of bias and variability in high-throughput experiments. The most well-known source of latent variation in genomic experiments are batch effects-when samples are processed on different days, in different groups or by different people. However, there are also a large number of other variables that may have a major impact on high-throughput measurements. Here we describe the sva package for identifying, estimating and removing unwanted sources of variation in high-throughput experiments. The sva package supports surrogate variable estimation with the sva function, direct adjustment for known batch effects with the ComBat function and adjustment for batch and latent variables in prediction problems with the fsva function.","author":[{"dropping-particle":"","family":"Leek","given":"Jeffrey T","non-dropping-particle":"","parse-names":false,"suffix":""},{"dropping-particle":"","family":"Johnson","given":"W Evan","non-dropping-particle":"","parse-names":false,"suffix":""},{"dropping-particle":"","family":"Parker","given":"Hilary S","non-dropping-particle":"","parse-names":false,"suffix":""},{"dropping-particle":"","family":"Jaffe","given":"Andrew E","non-dropping-particle":"","parse-names":false,"suffix":""},{"dropping-particle":"","family":"Storey","given":"John D","non-dropping-particle":"","parse-names":false,"suffix":""}],"container-title":"Bioinformatics (Oxford, England)","id":"ITEM-1","issue":"6","issued":{"date-parts":[["2012","3"]]},"language":"eng","page":"882-883","publisher-place":"England","title":"The sva package for removing batch effects and other unwanted variation in high-throughput experiments.","type":"article-journal","volume":"28"},"uris":["http://www.mendeley.com/documents/?uuid=78eecb5d-ae90-42a0-ba76-8233876a95cf"]}],"mendeley":{"formattedCitation":"&lt;span style=\"baseline\"&gt;(5)&lt;/span&gt;","plainTextFormattedCitation":"(5)","previouslyFormattedCitation":"&lt;span style=\"baseline\"&gt;(5)&lt;/span&gt;"},"properties":{"noteIndex":0},"schema":"https://github.com/citation-style-language/schema/raw/master/csl-citation.json"}</w:instrText>
      </w:r>
      <w:r w:rsidR="00AD1B5A">
        <w:fldChar w:fldCharType="separate"/>
      </w:r>
      <w:r w:rsidR="00AD1B5A" w:rsidRPr="00AD1B5A">
        <w:rPr>
          <w:noProof/>
        </w:rPr>
        <w:t>(5)</w:t>
      </w:r>
      <w:r w:rsidR="00AD1B5A">
        <w:fldChar w:fldCharType="end"/>
      </w:r>
      <w:r w:rsidR="00332889">
        <w:t xml:space="preserve"> </w:t>
      </w:r>
      <w:r>
        <w:t>if they were not associated with haemoglobin levels at p&lt;0.05.</w:t>
      </w:r>
      <w:r w:rsidR="005A3740">
        <w:t xml:space="preserve"> </w:t>
      </w:r>
    </w:p>
    <w:p w14:paraId="61B57FA7" w14:textId="702C711A" w:rsidR="00DF2DF1" w:rsidRDefault="005A3740" w:rsidP="00CA7657">
      <w:r>
        <w:t xml:space="preserve">Data on </w:t>
      </w:r>
      <w:r w:rsidR="00D35B79">
        <w:t xml:space="preserve">maternal </w:t>
      </w:r>
      <w:r>
        <w:t>haemoglobin (</w:t>
      </w:r>
      <w:proofErr w:type="spellStart"/>
      <w:r w:rsidR="00D35B79">
        <w:t>m</w:t>
      </w:r>
      <w:r>
        <w:t>Hb</w:t>
      </w:r>
      <w:proofErr w:type="spellEnd"/>
      <w:r>
        <w:t xml:space="preserve">) levels were abstracted from routine obstetric antenatal medical records. Haemoglobin was measured repeatedly through pregnancy for a subset of women who most likely had been found anaemic at an earlier visit on unwell in some other way. Therefore, to avoid selection bias, in this analysis we used the first measurement of </w:t>
      </w:r>
      <w:proofErr w:type="spellStart"/>
      <w:r w:rsidR="00D35B79">
        <w:t>m</w:t>
      </w:r>
      <w:r>
        <w:t>Hb</w:t>
      </w:r>
      <w:proofErr w:type="spellEnd"/>
      <w:r>
        <w:t xml:space="preserve"> when this occurred before 18 weeks. Across the whole ALSPAC cohort (N=11336 with Hb measurement available) the average early pregnancy </w:t>
      </w:r>
      <w:proofErr w:type="spellStart"/>
      <w:r w:rsidR="00D35B79">
        <w:t>m</w:t>
      </w:r>
      <w:r>
        <w:t>Hb</w:t>
      </w:r>
      <w:proofErr w:type="spellEnd"/>
      <w:r>
        <w:t xml:space="preserve"> level was 12.46</w:t>
      </w:r>
      <w:r w:rsidR="00D35B79">
        <w:t xml:space="preserve"> </w:t>
      </w:r>
      <w:r>
        <w:t>(SD=0.92) g/dL. Gestational age at haemoglobin measurement was obtained from obstetric antenatal records. Information on the sex of the child was obtained from the birth notification. Gestation at delivery was calculated (in days) based on the date of the mother’s last menstrual period (LMP) when the mother was certain of this, but for uncertain LMPs and conflicts with clinical assessment the ultrasound assessment was used. Where maternal report and ultrasound assessment conflicted, an experienced obstetrician reviewed clinical records and made a best estimate. Child’s age at methylation measurement was recorded on questionnaires administered at each clinic. Information on maternal age, parity, maternal education and maternal smoking during pregnancy was obtained from the questionnaires administered to the mothers during pregnancy. Maternal education was dichotomised into possessing or not a university degree.</w:t>
      </w:r>
    </w:p>
    <w:p w14:paraId="73FBDF17" w14:textId="1C3E8AAF" w:rsidR="0084415D" w:rsidRDefault="0084415D" w:rsidP="0084415D">
      <w:pPr>
        <w:pStyle w:val="Heading2"/>
      </w:pPr>
      <w:r>
        <w:t>Acknowledgements</w:t>
      </w:r>
    </w:p>
    <w:p w14:paraId="07B455FF" w14:textId="3289FFC7" w:rsidR="0084415D" w:rsidRDefault="0084415D" w:rsidP="00CA7657">
      <w:r w:rsidRPr="0084415D">
        <w:t xml:space="preserve">The ALSPAC study received core funding from the UK Medical Research Council and </w:t>
      </w:r>
      <w:proofErr w:type="spellStart"/>
      <w:r w:rsidRPr="0084415D">
        <w:t>Wellcome</w:t>
      </w:r>
      <w:proofErr w:type="spellEnd"/>
      <w:r w:rsidRPr="0084415D">
        <w:t xml:space="preserve"> [102215/2/13/2] and support by the University of Bristol, whereas the generation of the epigenetic data was funded by the UK Biotechnology and Biological Sciences Research Council [BBI025751/1 and BB/I025263/1]. A comprehensive list of grants funding is available at the ALSPAC website (http://www.bristol.ac.uk/alspac/external/documents/grant-acknowledgements.pdf). DC receives funding by the UK Medical Research Council [MC_UU_00011/5]. This publication is the work of the authors and will serve as guarantors for the contents of this paper. We are extremely grateful to all the families who took part in this study, the midwives for their help in recruiting them, and the whole ALSPAC team, which </w:t>
      </w:r>
      <w:r w:rsidRPr="0084415D">
        <w:lastRenderedPageBreak/>
        <w:t>includes interviewers, computer and laboratory technicians, clerical workers, research scientists, volunteers, managers, receptionists and nurses.</w:t>
      </w:r>
    </w:p>
    <w:p w14:paraId="0AEF13C5" w14:textId="77777777" w:rsidR="00667E49" w:rsidRDefault="00667E49" w:rsidP="00CA7657">
      <w:r>
        <w:br w:type="page"/>
      </w:r>
    </w:p>
    <w:p w14:paraId="10D627D7" w14:textId="77777777" w:rsidR="009B6226" w:rsidRPr="00F774A6" w:rsidRDefault="009B6226" w:rsidP="00CA7657">
      <w:pPr>
        <w:pStyle w:val="Heading1"/>
      </w:pPr>
      <w:r w:rsidRPr="00F774A6">
        <w:lastRenderedPageBreak/>
        <w:t xml:space="preserve">EDEN – Étude des </w:t>
      </w:r>
      <w:proofErr w:type="spellStart"/>
      <w:r w:rsidRPr="00F774A6">
        <w:t>Déterminants</w:t>
      </w:r>
      <w:proofErr w:type="spellEnd"/>
      <w:r w:rsidRPr="00F774A6">
        <w:t xml:space="preserve"> </w:t>
      </w:r>
      <w:proofErr w:type="spellStart"/>
      <w:r w:rsidRPr="00F774A6">
        <w:t>pré</w:t>
      </w:r>
      <w:proofErr w:type="spellEnd"/>
      <w:r w:rsidRPr="00F774A6">
        <w:t xml:space="preserve"> et post </w:t>
      </w:r>
      <w:proofErr w:type="spellStart"/>
      <w:r w:rsidRPr="00F774A6">
        <w:t>natals</w:t>
      </w:r>
      <w:proofErr w:type="spellEnd"/>
      <w:r w:rsidRPr="00F774A6">
        <w:t xml:space="preserve"> du </w:t>
      </w:r>
      <w:proofErr w:type="spellStart"/>
      <w:r w:rsidRPr="00F774A6">
        <w:t>développement</w:t>
      </w:r>
      <w:proofErr w:type="spellEnd"/>
      <w:r w:rsidRPr="00F774A6">
        <w:t xml:space="preserve"> de la santé de </w:t>
      </w:r>
      <w:proofErr w:type="spellStart"/>
      <w:r w:rsidRPr="00F774A6">
        <w:t>l'Enfant</w:t>
      </w:r>
      <w:proofErr w:type="spellEnd"/>
      <w:r w:rsidRPr="00F774A6">
        <w:t xml:space="preserve"> 2003-2006</w:t>
      </w:r>
    </w:p>
    <w:p w14:paraId="0C5DD35F" w14:textId="2F83C702" w:rsidR="00587BFB" w:rsidRDefault="00587BFB" w:rsidP="00587BFB">
      <w:r>
        <w:t xml:space="preserve">The EDEN (Etude des </w:t>
      </w:r>
      <w:proofErr w:type="spellStart"/>
      <w:r>
        <w:t>Déterminants</w:t>
      </w:r>
      <w:proofErr w:type="spellEnd"/>
      <w:r>
        <w:t xml:space="preserve"> </w:t>
      </w:r>
      <w:proofErr w:type="spellStart"/>
      <w:r>
        <w:t>pré</w:t>
      </w:r>
      <w:proofErr w:type="spellEnd"/>
      <w:r>
        <w:t xml:space="preserve"> et post </w:t>
      </w:r>
      <w:proofErr w:type="spellStart"/>
      <w:r>
        <w:t>natals</w:t>
      </w:r>
      <w:proofErr w:type="spellEnd"/>
      <w:r>
        <w:t xml:space="preserve"> du </w:t>
      </w:r>
      <w:proofErr w:type="spellStart"/>
      <w:r>
        <w:t>développement</w:t>
      </w:r>
      <w:proofErr w:type="spellEnd"/>
      <w:r>
        <w:t xml:space="preserve"> et de la santé de </w:t>
      </w:r>
      <w:proofErr w:type="spellStart"/>
      <w:r>
        <w:t>l′Enfant</w:t>
      </w:r>
      <w:proofErr w:type="spellEnd"/>
      <w:r>
        <w:t>) study is a prospective Birth Cohort Study (https://eden.vjf.inserm.fr/), which has been described in detail elsewhere</w:t>
      </w:r>
      <w:r w:rsidR="00AD1B5A">
        <w:t xml:space="preserve"> </w:t>
      </w:r>
      <w:r w:rsidR="00AD1B5A">
        <w:fldChar w:fldCharType="begin" w:fldLock="1"/>
      </w:r>
      <w:r w:rsidR="00AD1B5A">
        <w:instrText>ADDIN CSL_CITATION {"citationItems":[{"id":"ITEM-1","itemData":{"DOI":"10.1093/ije/dyv151","ISSN":"1464-3685 (Electronic)","PMID":"26283636","author":[{"dropping-particle":"","family":"Heude","given":"Barbara","non-dropping-particle":"","parse-names":false,"suffix":""},{"dropping-particle":"","family":"Forhan","given":"Anne","non-dropping-particle":"","parse-names":false,"suffix":""},{"dropping-particle":"","family":"Slama","given":"Remy","non-dropping-particle":"","parse-names":false,"suffix":""},{"dropping-particle":"","family":"Douhaud","given":"Lorraine","non-dropping-particle":"","parse-names":false,"suffix":""},{"dropping-particle":"","family":"Bedel","given":"Sophie","non-dropping-particle":"","parse-names":false,"suffix":""},{"dropping-particle":"","family":"Saurel-Cubizolles","given":"Marie-Josephe","non-dropping-particle":"","parse-names":false,"suffix":""},{"dropping-particle":"","family":"Hankard","given":"Regis","non-dropping-particle":"","parse-names":false,"suffix":""},{"dropping-particle":"","family":"Thiebaugeorges","given":"Olivier","non-dropping-particle":"","parse-names":false,"suffix":""},{"dropping-particle":"","family":"Agostini","given":"Maria","non-dropping-particle":"De","parse-names":false,"suffix":""},{"dropping-particle":"","family":"Annesi-Maesano","given":"Isabella","non-dropping-particle":"","parse-names":false,"suffix":""},{"dropping-particle":"","family":"Kaminski","given":"Monique","non-dropping-particle":"","parse-names":false,"suffix":""},{"dropping-particle":"","family":"Charles","given":"Marie-Aline","non-dropping-particle":"","parse-names":false,"suffix":""}],"container-title":"International journal of epidemiology","id":"ITEM-1","issue":"2","issued":{"date-parts":[["2016","4"]]},"language":"eng","page":"353-363","publisher-place":"England","title":"Cohort Profile: The EDEN mother-child cohort on the prenatal and early postnatal determinants of child health and development.","type":"article-journal","volume":"45"},"uris":["http://www.mendeley.com/documents/?uuid=f1ec519f-16fe-4508-abcc-27f437bb6e5a"]}],"mendeley":{"formattedCitation":"&lt;span style=\"baseline\"&gt;(6)&lt;/span&gt;","plainTextFormattedCitation":"(6)","previouslyFormattedCitation":"&lt;span style=\"baseline\"&gt;(6)&lt;/span&gt;"},"properties":{"noteIndex":0},"schema":"https://github.com/citation-style-language/schema/raw/master/csl-citation.json"}</w:instrText>
      </w:r>
      <w:r w:rsidR="00AD1B5A">
        <w:fldChar w:fldCharType="separate"/>
      </w:r>
      <w:r w:rsidR="00AD1B5A" w:rsidRPr="00AD1B5A">
        <w:rPr>
          <w:noProof/>
        </w:rPr>
        <w:t>(6)</w:t>
      </w:r>
      <w:r w:rsidR="00AD1B5A">
        <w:fldChar w:fldCharType="end"/>
      </w:r>
      <w:r>
        <w:t xml:space="preserve">. Pregnant women seen for a prenatal visit at the departments of Obstetrics and </w:t>
      </w:r>
      <w:r w:rsidR="000A250C">
        <w:t>Gynaecology</w:t>
      </w:r>
      <w:r>
        <w:t xml:space="preserve"> of the University Hospital of Nancy and Poitiers before their twenty-fourth week of amenorrhea were invited to participate. Enrolment started in February 2003 in Poitiers and September 2003 in Nancy; it lasted 27 months in each centre. Among eligible women, 55% (n=2002) accepted to participate. The study has been approved by the ethical committees </w:t>
      </w:r>
      <w:proofErr w:type="spellStart"/>
      <w:r>
        <w:t>Comité</w:t>
      </w:r>
      <w:proofErr w:type="spellEnd"/>
      <w:r>
        <w:t xml:space="preserve"> </w:t>
      </w:r>
      <w:proofErr w:type="spellStart"/>
      <w:r>
        <w:t>Consultatif</w:t>
      </w:r>
      <w:proofErr w:type="spellEnd"/>
      <w:r>
        <w:t xml:space="preserve"> pour la Protection des </w:t>
      </w:r>
      <w:proofErr w:type="spellStart"/>
      <w:r>
        <w:t>Personnes</w:t>
      </w:r>
      <w:proofErr w:type="spellEnd"/>
      <w:r>
        <w:t xml:space="preserve"> dans la Recherche </w:t>
      </w:r>
      <w:proofErr w:type="spellStart"/>
      <w:r>
        <w:t>Biomédicale</w:t>
      </w:r>
      <w:proofErr w:type="spellEnd"/>
      <w:r>
        <w:t>, Le Kremlin-</w:t>
      </w:r>
      <w:proofErr w:type="spellStart"/>
      <w:r>
        <w:t>Bicêtre</w:t>
      </w:r>
      <w:proofErr w:type="spellEnd"/>
      <w:r>
        <w:t xml:space="preserve"> University hospital, and Commission </w:t>
      </w:r>
      <w:proofErr w:type="spellStart"/>
      <w:r>
        <w:t>Nationale</w:t>
      </w:r>
      <w:proofErr w:type="spellEnd"/>
      <w:r>
        <w:t xml:space="preserve"> de </w:t>
      </w:r>
      <w:proofErr w:type="spellStart"/>
      <w:r>
        <w:t>l’Informatique</w:t>
      </w:r>
      <w:proofErr w:type="spellEnd"/>
      <w:r>
        <w:t xml:space="preserve"> et des </w:t>
      </w:r>
      <w:proofErr w:type="spellStart"/>
      <w:r>
        <w:t>Libertés</w:t>
      </w:r>
      <w:proofErr w:type="spellEnd"/>
      <w:r>
        <w:t>.</w:t>
      </w:r>
    </w:p>
    <w:p w14:paraId="06828BC1" w14:textId="2CBAAA0B" w:rsidR="00587BFB" w:rsidRDefault="00587BFB" w:rsidP="00587BFB">
      <w:r>
        <w:t xml:space="preserve">Immediately after delivery, cord blood samples were collected by research midwives from 1367 consenting cohort participants. To prevent any contamination with maternal blood, the cord was doubly clamped immediately after birth (vaginal delivery) or after extraction of the </w:t>
      </w:r>
      <w:r w:rsidR="000A250C">
        <w:t>foetus</w:t>
      </w:r>
      <w:r>
        <w:t xml:space="preserve"> through the uterine incision (elective </w:t>
      </w:r>
      <w:r w:rsidR="000A250C">
        <w:t>caesarean</w:t>
      </w:r>
      <w:r>
        <w:t xml:space="preserve"> section); repeatedly rinsed and venous cord blood serum was sampled between the 2 clamps. Whole blood samples were collected at the age of 5 years in 836 participants whose parents gave informed consent. Cord and whole blood samples were centrifuged within 24 hours of collection. The serum was </w:t>
      </w:r>
      <w:r w:rsidR="000A250C">
        <w:t>separated,</w:t>
      </w:r>
      <w:r>
        <w:t xml:space="preserve"> and samples were stored at −80°C.</w:t>
      </w:r>
    </w:p>
    <w:p w14:paraId="59380CFB" w14:textId="2D682040" w:rsidR="00587BFB" w:rsidRDefault="00587BFB" w:rsidP="00587BFB">
      <w:r>
        <w:t xml:space="preserve">Cord blood samples and peripheral blood samples were collected from all consenting cohort participants and DNA was extracted using the </w:t>
      </w:r>
      <w:proofErr w:type="spellStart"/>
      <w:r>
        <w:t>QIAamp</w:t>
      </w:r>
      <w:proofErr w:type="spellEnd"/>
      <w:r>
        <w:t xml:space="preserve"> blood kit (Qiagen or equivalent protocols), followed by precipitation-based concentration using </w:t>
      </w:r>
      <w:proofErr w:type="spellStart"/>
      <w:r>
        <w:t>GlycoBlue</w:t>
      </w:r>
      <w:proofErr w:type="spellEnd"/>
      <w:r>
        <w:t xml:space="preserve"> (</w:t>
      </w:r>
      <w:proofErr w:type="spellStart"/>
      <w:r>
        <w:t>Ambion</w:t>
      </w:r>
      <w:proofErr w:type="spellEnd"/>
      <w:r>
        <w:t xml:space="preserve">). DNA concentration was determined by Nanodrop measurement and </w:t>
      </w:r>
      <w:proofErr w:type="spellStart"/>
      <w:r>
        <w:t>Picogreen</w:t>
      </w:r>
      <w:proofErr w:type="spellEnd"/>
      <w:r>
        <w:t xml:space="preserve"> quantification. 500 ng of DNA was bisulphite-converted using the EZ 96-DNA methylation kit (</w:t>
      </w:r>
      <w:proofErr w:type="spellStart"/>
      <w:r>
        <w:t>Zymo</w:t>
      </w:r>
      <w:proofErr w:type="spellEnd"/>
      <w:r>
        <w:t xml:space="preserve"> Research), following the manufacturer’s standard protocol. After verification of the bisulphite conversion step using Sanger Sequencing, genome-wide DNA methylation was measured using the Illumina Infinium HumanMethylation450 </w:t>
      </w:r>
      <w:proofErr w:type="spellStart"/>
      <w:r>
        <w:t>BeadChip</w:t>
      </w:r>
      <w:proofErr w:type="spellEnd"/>
      <w:r>
        <w:t xml:space="preserve">. After normalization of the concentration, the samples were randomized to avoid batch effects, and all paired samples were hybridized </w:t>
      </w:r>
      <w:r>
        <w:lastRenderedPageBreak/>
        <w:t xml:space="preserve">on the same chip. Standard male and female DNA samples were included in this step as control samples. DNA methylation data were pre-processed in R with the Bioconductor package </w:t>
      </w:r>
      <w:proofErr w:type="spellStart"/>
      <w:r w:rsidRPr="00587BFB">
        <w:rPr>
          <w:i/>
        </w:rPr>
        <w:t>minfi</w:t>
      </w:r>
      <w:proofErr w:type="spellEnd"/>
      <w:r w:rsidR="00AD1B5A">
        <w:rPr>
          <w:i/>
        </w:rPr>
        <w:t xml:space="preserve"> </w:t>
      </w:r>
      <w:r w:rsidR="00AD1B5A">
        <w:rPr>
          <w:i/>
        </w:rPr>
        <w:fldChar w:fldCharType="begin" w:fldLock="1"/>
      </w:r>
      <w:r w:rsidR="008F6272">
        <w:rPr>
          <w:i/>
        </w:rPr>
        <w:instrText>ADDIN CSL_CITATION {"citationItems":[{"id":"ITEM-1","itemData":{"DOI":"10.1093/bioinformatics/btu049","ISSN":"1367-4811 (Electronic)","PMID":"24478339","abstract":"MOTIVATION: The recently released Infinium HumanMethylation450 array (the '450k' array) provides a high-throughput assay to quantify DNA methylation (DNAm) at approximately 450 000 loci across a range of genomic features. Although less comprehensive than high-throughput sequencing-based techniques, this product is more cost-effective and promises to be the most widely used DNAm high-throughput measurement technology over the next several years. RESULTS: Here we describe a suite of computational tools that incorporate state-of-the-art statistical techniques for the analysis of DNAm data. The software is structured to easily adapt to future versions of the technology. We include methods for preprocessing, quality assessment and detection of differentially methylated regions from the kilobase to the megabase scale. We show how our software provides a powerful and flexible development platform for future methods. We also illustrate how our methods empower the technology to make discoveries previously thought to be possible only with sequencing-based methods. AVAILABILITY AND IMPLEMENTATION: http://bioconductor.org/packages/release/bioc/html/minfi.html. CONTACT: khansen@jhsph.edu; rafa@jimmy.harvard.edu SUPPLEMENTARY INFORMATION: Supplementary data are available at Bioinformatics online.","author":[{"dropping-particle":"","family":"Aryee","given":"Martin J","non-dropping-particle":"","parse-names":false,"suffix":""},{"dropping-particle":"","family":"Jaffe","given":"Andrew E","non-dropping-particle":"","parse-names":false,"suffix":""},{"dropping-particle":"","family":"Corrada-Bravo","given":"Hector","non-dropping-particle":"","parse-names":false,"suffix":""},{"dropping-particle":"","family":"Ladd-Acosta","given":"Christine","non-dropping-particle":"","parse-names":false,"suffix":""},{"dropping-particle":"","family":"Feinberg","given":"Andrew P","non-dropping-particle":"","parse-names":false,"suffix":""},{"dropping-particle":"","family":"Hansen","given":"Kasper D","non-dropping-particle":"","parse-names":false,"suffix":""},{"dropping-particle":"","family":"Irizarry","given":"Rafael A","non-dropping-particle":"","parse-names":false,"suffix":""}],"container-title":"Bioinformatics (Oxford, England)","id":"ITEM-1","issue":"10","issued":{"date-parts":[["2014","5"]]},"language":"eng","page":"1363-1369","publisher-place":"England","title":"Minfi: a flexible and comprehensive Bioconductor package for the analysis of Infinium DNA methylation microarrays.","type":"article-journal","volume":"30"},"uris":["http://www.mendeley.com/documents/?uuid=feec687b-7c51-4a7c-b578-fe16b28703f8"]}],"mendeley":{"formattedCitation":"&lt;span style=\"baseline\"&gt;(7)&lt;/span&gt;","plainTextFormattedCitation":"(7)","previouslyFormattedCitation":"&lt;span style=\"baseline\"&gt;(7)&lt;/span&gt;"},"properties":{"noteIndex":0},"schema":"https://github.com/citation-style-language/schema/raw/master/csl-citation.json"}</w:instrText>
      </w:r>
      <w:r w:rsidR="00AD1B5A">
        <w:rPr>
          <w:i/>
        </w:rPr>
        <w:fldChar w:fldCharType="separate"/>
      </w:r>
      <w:r w:rsidR="00AD1B5A" w:rsidRPr="00AD1B5A">
        <w:rPr>
          <w:noProof/>
        </w:rPr>
        <w:t>(7)</w:t>
      </w:r>
      <w:r w:rsidR="00AD1B5A">
        <w:rPr>
          <w:i/>
        </w:rPr>
        <w:fldChar w:fldCharType="end"/>
      </w:r>
      <w:r w:rsidRPr="00AD1B5A">
        <w:t xml:space="preserve">, </w:t>
      </w:r>
      <w:r>
        <w:t xml:space="preserve">using the original IDAT files extracted from the </w:t>
      </w:r>
      <w:proofErr w:type="spellStart"/>
      <w:r>
        <w:t>HiScanSQ</w:t>
      </w:r>
      <w:proofErr w:type="spellEnd"/>
      <w:r>
        <w:t xml:space="preserve"> scanner. Samples that did not provide significant methylation signals in more than 10% of probes (detection P = 0.01) were excluded from further analysis. Samples were also excluded in cases of low staining efficiency, low single base extension efficiency, low stripping efficiency of DNA from probes after single base extension, poor hybridization performance, poor bisulphite conversion and high negative control probe staining. Further, we used the 65 SNP probes to check for concordances between paired DNA samples from the sample individual and assessed the methylation distribution of the X-chromosome to verify gender. Paired samples with Pearson correlation coefficients &lt;0.9 were regarded as sample mix-ups and were excluded from the study. In probe filtering, we excluded probes on sex chromosomes, probes that mapped on multi-loci, the 65 random SNPs assay and probes that contained SNPs at the target CpG sites with a minor allele frequency &gt;10%</w:t>
      </w:r>
      <w:r w:rsidR="008F6272">
        <w:t xml:space="preserve"> </w:t>
      </w:r>
      <w:r w:rsidR="008F6272">
        <w:fldChar w:fldCharType="begin" w:fldLock="1"/>
      </w:r>
      <w:r w:rsidR="008F6272">
        <w:instrText>ADDIN CSL_CITATION {"citationItems":[{"id":"ITEM-1","itemData":{"DOI":"10.4161/epi.23470","ISSN":"1559-2308 (Electronic)","PMID":"23314698","abstract":"DNA methylation, an important type of epigenetic modification in humans, participates in crucial cellular processes, such as embryonic development, X-inactivation, genomic imprinting and chromosome stability. Several platforms have been developed to study genome-wide DNA methylation. Many investigators in the field have chosen the Illumina Infinium HumanMethylation microarray for its ability to reliably assess DNA methylation following sodium bisulfite conversion. Here, we analyzed methylation profiles of 489 adult males and 357 adult females generated by the Infinium HumanMethylation450 microarray. Among the autosomal CpG sites that displayed significant methylation differences between the two sexes, we observed a significant enrichment of cross-reactive probes co- hybridizing to the sex chromosomes with more than 94% sequence identity. This could lead investigators to mistakenly infer the existence of significant autosomal sex-associated methylation. Using sequence identity cutoffs derived from the sex methylation analysis, we concluded that 6% of the array probes can potentially generate spurious signals because of co-hybridization to alternate genomic sequences highly homologous to the intended targets. Additionally, we discovered probes targeting polymorphic CpGs that overlapped SNPs. The methylation levels detected by these probes are simply the reflection of underlying genetic polymorphisms but could be misinterpreted as true signals. The existence of probes that are cross-reactive or of target polymorphic CpGs in the Illumina HumanMethylation microarrays can confound data obtained from such microarrays. Therefore, investigators should exercise caution when significant biological associations are found using these array platforms. A list of all cross-reactive probes and polymorphic CpGs identified by us are annotated in this paper.","author":[{"dropping-particle":"","family":"Chen","given":"Yi-an","non-dropping-particle":"","parse-names":false,"suffix":""},{"dropping-particle":"","family":"Lemire","given":"Mathieu","non-dropping-particle":"","parse-names":false,"suffix":""},{"dropping-particle":"","family":"Choufani","given":"Sanaa","non-dropping-particle":"","parse-names":false,"suffix":""},{"dropping-particle":"","family":"Butcher","given":"Darci T","non-dropping-particle":"","parse-names":false,"suffix":""},{"dropping-particle":"","family":"Grafodatskaya","given":"Daria","non-dropping-particle":"","parse-names":false,"suffix":""},{"dropping-particle":"","family":"Zanke","given":"Brent W","non-dropping-particle":"","parse-names":false,"suffix":""},{"dropping-particle":"","family":"Gallinger","given":"Steven","non-dropping-particle":"","parse-names":false,"suffix":""},{"dropping-particle":"","family":"Hudson","given":"Thomas J","non-dropping-particle":"","parse-names":false,"suffix":""},{"dropping-particle":"","family":"Weksberg","given":"Rosanna","non-dropping-particle":"","parse-names":false,"suffix":""}],"container-title":"Epigenetics","id":"ITEM-1","issue":"2","issued":{"date-parts":[["2013","2"]]},"language":"eng","page":"203-209","publisher-place":"United States","title":"Discovery of cross-reactive probes and polymorphic CpGs in the Illumina Infinium HumanMethylation450 microarray.","type":"article-journal","volume":"8"},"uris":["http://www.mendeley.com/documents/?uuid=baa489e5-e61a-4e8e-ba14-6ede787de8ab"]}],"mendeley":{"formattedCitation":"&lt;span style=\"baseline\"&gt;(8)&lt;/span&gt;","plainTextFormattedCitation":"(8)","previouslyFormattedCitation":"&lt;span style=\"baseline\"&gt;(8)&lt;/span&gt;"},"properties":{"noteIndex":0},"schema":"https://github.com/citation-style-language/schema/raw/master/csl-citation.json"}</w:instrText>
      </w:r>
      <w:r w:rsidR="008F6272">
        <w:fldChar w:fldCharType="separate"/>
      </w:r>
      <w:r w:rsidR="008F6272" w:rsidRPr="008F6272">
        <w:rPr>
          <w:noProof/>
        </w:rPr>
        <w:t>(8)</w:t>
      </w:r>
      <w:r w:rsidR="008F6272">
        <w:fldChar w:fldCharType="end"/>
      </w:r>
      <w:r>
        <w:t>. The allele frequencies of a list of SNPs were obtained from 1000 Genomes, release 20110521 for CEU population. Finally, we implemented “DASEN” to perform signal correction and normalization</w:t>
      </w:r>
      <w:r w:rsidR="008F6272">
        <w:t xml:space="preserve"> </w:t>
      </w:r>
      <w:r w:rsidR="008F6272">
        <w:fldChar w:fldCharType="begin" w:fldLock="1"/>
      </w:r>
      <w:r w:rsidR="008F6272">
        <w:instrText>ADDIN CSL_CITATION {"citationItems":[{"id":"ITEM-1","itemData":{"DOI":"10.1186/1471-2164-14-293","ISSN":"1471-2164 (Electronic)","PMID":"23631413","abstract":"BACKGROUND: As the most stable and experimentally accessible epigenetic mark, DNA methylation is of great interest to the research community. The landscape of DNA methylation across tissues, through development and in disease pathogenesis is not yet well characterized. Thus there is a need for rapid and cost effective methods for assessing genome-wide levels of DNA methylation. The Illumina Infinium HumanMethylation450 (450K) BeadChip is a very useful addition to the available methods for DNA methylation analysis but its complex design, incorporating two different assay methods, requires careful consideration. Accordingly, several normalization schemes have been published. We have taken advantage of known DNA methylation patterns associated with genomic imprinting and X-chromosome inactivation (XCI), in addition to the performance of SNP genotyping assays present on the array, to derive three independent metrics which we use to test alternative schemes of correction and normalization. These metrics also have potential utility as quality scores for datasets. RESULTS: The standard index of DNA methylation at any specific CpG site is beta = M/(M + U + 100) where M and U are methylated and unmethylated signal intensities, respectively. Betas (betas) calculated from raw signal intensities (the default GenomeStudio behavior) perform well, but using 11 methylomic datasets we demonstrate that quantile normalization methods produce marked improvement, even in highly consistent data, by all three metrics. The commonly used procedure of normalizing betas is inferior to the separate normalization of M and U, and it is also advantageous to normalize Type I and Type II assays separately. More elaborate manipulation of quantiles proves to be counterproductive. CONCLUSIONS: Careful selection of preprocessing steps can minimize variance and thus improve statistical power, especially for the detection of the small absolute DNA methylation changes likely associated with complex disease phenotypes. For the convenience of the research community we have created a user-friendly R software package called wateRmelon, downloadable from bioConductor, compatible with the existing methylumi, minfi and IMA packages, that allows others to utilize the same normalization methods and data quality tests on 450K data.","author":[{"dropping-particle":"","family":"Pidsley","given":"Ruth","non-dropping-particle":"","parse-names":false,"suffix":""},{"dropping-particle":"","family":"Y Wong","given":"Chloe C","non-dropping-particle":"","parse-names":false,"suffix":""},{"dropping-particle":"","family":"Volta","given":"Manuela","non-dropping-particle":"","parse-names":false,"suffix":""},{"dropping-particle":"","family":"Lunnon","given":"Katie","non-dropping-particle":"","parse-names":false,"suffix":""},{"dropping-particle":"","family":"Mill","given":"Jonathan","non-dropping-particle":"","parse-names":false,"suffix":""},{"dropping-particle":"","family":"Schalkwyk","given":"Leonard C","non-dropping-particle":"","parse-names":false,"suffix":""}],"container-title":"BMC genomics","id":"ITEM-1","issued":{"date-parts":[["2013","5"]]},"language":"eng","page":"293","publisher-place":"England","title":"A data-driven approach to preprocessing Illumina 450K methylation array data.","type":"article-journal","volume":"14"},"uris":["http://www.mendeley.com/documents/?uuid=9f27074c-997e-4998-94c3-cc2a41e9501f"]}],"mendeley":{"formattedCitation":"&lt;span style=\"baseline\"&gt;(9)&lt;/span&gt;","plainTextFormattedCitation":"(9)","previouslyFormattedCitation":"&lt;span style=\"baseline\"&gt;(9)&lt;/span&gt;"},"properties":{"noteIndex":0},"schema":"https://github.com/citation-style-language/schema/raw/master/csl-citation.json"}</w:instrText>
      </w:r>
      <w:r w:rsidR="008F6272">
        <w:fldChar w:fldCharType="separate"/>
      </w:r>
      <w:r w:rsidR="008F6272" w:rsidRPr="008F6272">
        <w:rPr>
          <w:noProof/>
        </w:rPr>
        <w:t>(9)</w:t>
      </w:r>
      <w:r w:rsidR="008F6272">
        <w:fldChar w:fldCharType="end"/>
      </w:r>
      <w:r>
        <w:t>. After quality control, 165 samples and 439,306 autosomal probes remained. From these, we selected 123 samples from Age 0 and 121 samples from Age 5 from the population of randomly selected children for further analysis based on completeness of data for study covariates. Eliminated individuals were missing parity data, missing blood cell count data, or had two parents of non-European ancestry.</w:t>
      </w:r>
    </w:p>
    <w:p w14:paraId="46407A0F" w14:textId="430AC95B" w:rsidR="00667E49" w:rsidRDefault="00587BFB" w:rsidP="00587BFB">
      <w:r>
        <w:t xml:space="preserve">Haemoglobin concentration was assessed in routine biological examinations during pregnancy (24-28 weeks of gestation) and obtained from medical records. Age of the mother at intake during pregnancy was recorded in years. Information on parity (no children/at least one child) was collected through a questionnaire administered during pregnancy. Information on maternal smoking in each trimester of pregnancy was collected using questionnaires, the variable was recoded into 3 categories: no smoking, stopped in the first trimester of pregnancy, continued through the pregnancy. Maternal education was defined by highest completed maternal education, collected using questionnaires during pregnancy, and it was classified in 3 groups: low (no education, completed primary education or pre-professional courses), middle (completed </w:t>
      </w:r>
      <w:proofErr w:type="spellStart"/>
      <w:r>
        <w:t>baccalauréat</w:t>
      </w:r>
      <w:proofErr w:type="spellEnd"/>
      <w:r>
        <w:t xml:space="preserve">) and high education (bachelor’s degree or higher). Information on </w:t>
      </w:r>
      <w:r>
        <w:lastRenderedPageBreak/>
        <w:t xml:space="preserve">gestational age at birth was obtained from obstetrical records. Estimation of six different white blood cell types (CD8+ T and CD4+ T lymphocytes, natural killer cells, B cells, monocytes, and granulocytes) by Houseman method </w:t>
      </w:r>
      <w:r w:rsidR="008F6272">
        <w:fldChar w:fldCharType="begin" w:fldLock="1"/>
      </w:r>
      <w:r w:rsidR="008F6272">
        <w:instrText>ADDIN CSL_CITATION {"citationItems":[{"id":"ITEM-1","itemData":{"DOI":"10.1186/1471-2105-13-86","ISSN":"1471-2105 (Electronic)","PMID":"22568884","abstract":"BACKGROUND: There has been a long-standing need in biomedical research for a method that quantifies the normally mixed composition of leukocytes beyond what is possible by simple histological or flow cytometric assessments. The latter is restricted by the labile nature of protein epitopes, requirements for cell processing, and timely cell analysis. In a diverse array of diseases and following numerous immune-toxic exposures, leukocyte composition will critically inform the underlying immuno-biology to most chronic medical conditions. Emerging research demonstrates that DNA methylation is responsible for cellular differentiation, and when measured in whole peripheral blood, serves to distinguish cancer cases from controls. RESULTS: Here we present a method, similar to regression calibration, for inferring changes in the distribution of white blood cells between different subpopulations (e.g. cases and controls) using DNA methylation signatures, in combination with a previously obtained external validation set consisting of signatures from purified leukocyte samples. We validate the fundamental idea in a cell mixture reconstruction experiment, then demonstrate our method on DNA methylation data sets from several studies, including data from a Head and Neck Squamous Cell Carcinoma (HNSCC) study and an ovarian cancer study. Our method produces results consistent with prior biological findings, thereby validating the approach. CONCLUSIONS: Our method, in combination with an appropriate external validation set, promises new opportunities for large-scale immunological studies of both disease states and noxious exposures.","author":[{"dropping-particle":"","family":"Houseman","given":"Eugene Andres","non-dropping-particle":"","parse-names":false,"suffix":""},{"dropping-particle":"","family":"Accomando","given":"William P","non-dropping-particle":"","parse-names":false,"suffix":""},{"dropping-particle":"","family":"Koestler","given":"Devin C","non-dropping-particle":"","parse-names":false,"suffix":""},{"dropping-particle":"","family":"Christensen","given":"Brock C","non-dropping-particle":"","parse-names":false,"suffix":""},{"dropping-particle":"","family":"Marsit","given":"Carmen J","non-dropping-particle":"","parse-names":false,"suffix":""},{"dropping-particle":"","family":"Nelson","given":"Heather H","non-dropping-particle":"","parse-names":false,"suffix":""},{"dropping-particle":"","family":"Wiencke","given":"John K","non-dropping-particle":"","parse-names":false,"suffix":""},{"dropping-particle":"","family":"Kelsey","given":"Karl T","non-dropping-particle":"","parse-names":false,"suffix":""}],"container-title":"BMC bioinformatics","id":"ITEM-1","issued":{"date-parts":[["2012","5"]]},"language":"eng","page":"86","publisher-place":"England","title":"DNA methylation arrays as surrogate measures of cell mixture distribution.","type":"article-journal","volume":"13"},"uris":["http://www.mendeley.com/documents/?uuid=a5f6c561-68a0-43ec-96fd-9ade37c06c37"]}],"mendeley":{"formattedCitation":"&lt;span style=\"baseline\"&gt;(10)&lt;/span&gt;","plainTextFormattedCitation":"(10)","previouslyFormattedCitation":"&lt;span style=\"baseline\"&gt;(10)&lt;/span&gt;"},"properties":{"noteIndex":0},"schema":"https://github.com/citation-style-language/schema/raw/master/csl-citation.json"}</w:instrText>
      </w:r>
      <w:r w:rsidR="008F6272">
        <w:fldChar w:fldCharType="separate"/>
      </w:r>
      <w:r w:rsidR="008F6272" w:rsidRPr="008F6272">
        <w:rPr>
          <w:noProof/>
        </w:rPr>
        <w:t>(10)</w:t>
      </w:r>
      <w:r w:rsidR="008F6272">
        <w:fldChar w:fldCharType="end"/>
      </w:r>
      <w:r>
        <w:t xml:space="preserve"> was performed using the default implementation of the estimate </w:t>
      </w:r>
      <w:proofErr w:type="spellStart"/>
      <w:r>
        <w:t>CellCounts</w:t>
      </w:r>
      <w:proofErr w:type="spellEnd"/>
      <w:r>
        <w:t xml:space="preserve"> function in the </w:t>
      </w:r>
      <w:proofErr w:type="spellStart"/>
      <w:r w:rsidRPr="0000545E">
        <w:rPr>
          <w:i/>
        </w:rPr>
        <w:t>minfi</w:t>
      </w:r>
      <w:proofErr w:type="spellEnd"/>
      <w:r>
        <w:t xml:space="preserve"> package</w:t>
      </w:r>
      <w:r w:rsidR="008F6272">
        <w:t xml:space="preserve"> </w:t>
      </w:r>
      <w:r w:rsidR="008F6272">
        <w:fldChar w:fldCharType="begin" w:fldLock="1"/>
      </w:r>
      <w:r w:rsidR="008F6272">
        <w:instrText>ADDIN CSL_CITATION {"citationItems":[{"id":"ITEM-1","itemData":{"DOI":"10.1186/gb-2014-15-2-r31","ISSN":"1474-760X (Electronic)","PMID":"24495553","abstract":"BACKGROUND: Epigenome-wide association studies of human disease and other quantitative traits are becoming increasingly common. A series of papers reporting age-related changes in DNA methylation profiles in peripheral blood have already been published. However, blood is a heterogeneous collection of different cell types, each with a very different DNA methylation profile. RESULTS: Using a statistical method that permits estimating the relative proportion of cell types from DNA methylation profiles, we examine data from five previously published studies, and find strong evidence of cell composition change across age in blood. We also demonstrate that, in these studies, cellular composition explains much of the observed variability in DNA methylation. Furthermore, we find high levels of confounding between age-related variability and cellular composition at the CpG level. CONCLUSIONS: Our findings underscore the importance of considering cell composition variability in epigenetic studies based on whole blood and other heterogeneous tissue sources. We also provide software for estimating and exploring this composition confounding for the Illumina 450k microarray.","author":[{"dropping-particle":"","family":"Jaffe","given":"Andrew E","non-dropping-particle":"","parse-names":false,"suffix":""},{"dropping-particle":"","family":"Irizarry","given":"Rafael A","non-dropping-particle":"","parse-names":false,"suffix":""}],"container-title":"Genome biology","id":"ITEM-1","issue":"2","issued":{"date-parts":[["2014","2"]]},"language":"eng","page":"R31","publisher-place":"England","title":"Accounting for cellular heterogeneity is critical in epigenome-wide association studies.","type":"article-journal","volume":"15"},"uris":["http://www.mendeley.com/documents/?uuid=14cb431d-83bd-457c-84bc-44c1010745ab"]}],"mendeley":{"formattedCitation":"&lt;span style=\"baseline\"&gt;(11)&lt;/span&gt;","plainTextFormattedCitation":"(11)","previouslyFormattedCitation":"&lt;span style=\"baseline\"&gt;(11)&lt;/span&gt;"},"properties":{"noteIndex":0},"schema":"https://github.com/citation-style-language/schema/raw/master/csl-citation.json"}</w:instrText>
      </w:r>
      <w:r w:rsidR="008F6272">
        <w:fldChar w:fldCharType="separate"/>
      </w:r>
      <w:r w:rsidR="008F6272" w:rsidRPr="008F6272">
        <w:rPr>
          <w:noProof/>
        </w:rPr>
        <w:t>(11)</w:t>
      </w:r>
      <w:r w:rsidR="008F6272">
        <w:fldChar w:fldCharType="end"/>
      </w:r>
      <w:r>
        <w:t>. Plate number was included in the models to correct for batch effects.</w:t>
      </w:r>
      <w:r w:rsidR="00667E49">
        <w:br w:type="page"/>
      </w:r>
    </w:p>
    <w:p w14:paraId="329759C2" w14:textId="77777777" w:rsidR="00503344" w:rsidRPr="00F774A6" w:rsidRDefault="00503344" w:rsidP="00CA7657">
      <w:pPr>
        <w:pStyle w:val="Heading1"/>
      </w:pPr>
      <w:proofErr w:type="spellStart"/>
      <w:r w:rsidRPr="00F774A6">
        <w:lastRenderedPageBreak/>
        <w:t>FinnGeDi</w:t>
      </w:r>
      <w:proofErr w:type="spellEnd"/>
      <w:r w:rsidRPr="00F774A6">
        <w:t xml:space="preserve"> – Finnish Gestational Diabetes Study</w:t>
      </w:r>
    </w:p>
    <w:p w14:paraId="6E34EC28" w14:textId="6DBD5D73" w:rsidR="00772B1F" w:rsidRPr="00772B1F" w:rsidRDefault="00772B1F" w:rsidP="00772B1F">
      <w:r w:rsidRPr="00772B1F">
        <w:t xml:space="preserve">This </w:t>
      </w:r>
      <w:proofErr w:type="spellStart"/>
      <w:r w:rsidRPr="00772B1F">
        <w:t>subcohort</w:t>
      </w:r>
      <w:proofErr w:type="spellEnd"/>
      <w:r w:rsidRPr="00772B1F">
        <w:t xml:space="preserve"> is a part of the Finnish Gestational Diabetes (</w:t>
      </w:r>
      <w:proofErr w:type="spellStart"/>
      <w:r w:rsidRPr="00772B1F">
        <w:t>FinnGeDi</w:t>
      </w:r>
      <w:proofErr w:type="spellEnd"/>
      <w:r w:rsidRPr="00772B1F">
        <w:t xml:space="preserve">) Study including 299 women with gestational diabetes mellitus (GDM) and 238 controls aged 19–45 years </w:t>
      </w:r>
      <w:r w:rsidR="00F307BE">
        <w:fldChar w:fldCharType="begin" w:fldLock="1"/>
      </w:r>
      <w:r w:rsidR="002755CC">
        <w:instrText>ADDIN CSL_CITATION {"citationItems":[{"id":"ITEM-1","itemData":{"DOI":"10.1530/EC-18-0076","ISSN":"2049-3614","PMID":"29858213","abstract":"OBJECTIVE To study the roles of self-reported symptoms and/or prior diagnosis of polycystic ovary syndrome (PCOS) and other potential risk factors for gestational diabetes mellitus (GDM) and to clarify whether the screening of GDM in early pregnancy is beneficial for all women with PCOS. DESIGN The FinnGeDi multicentre case-control study including 1146 women with singleton pregnancies diagnosed with GDM and 1066 non-diabetic pregnant women. There were 174 women with PCOS (symptoms and/or diagnosis self-reported by a questionnaire) and 1767 women without PCOS (data missing for 271). METHODS The study population (N = 1941) was divided into four subgroups: GDM + PCOS (N = 105), GDM + non-PCOS (N = 909), non-GDM + PCOS (N = 69), and controls (N = 858). The participants' characteristics and their parents' medical histories were compared. RESULTS The prevalence of PCOS was 10.4% among GDM women and 7.4% among non-diabetics (odds ratios (OR) 1.44, 95% CI: 1.05-1.97), but PCOS was not an independent risk for GDM after adjustments for participants' age and pre-pregnancy BMI (OR 1.07, 95% CI: 0.74-1.54). In a multivariate logistic regression analysis, the most significant parameters associated with GDM were overweight, obesity, age ≥35 years, participant's mother's history of GDM, either parent's history of type 2 diabetes (T2D) and participant's own preterm birth. CONCLUSIONS The increased risk of GDM in women with PCOS was related to obesity and increased maternal age rather than to PCOS itself, suggesting that routine early screening of GDM in PCOS women without other risk factors should be reconsidered. Instead, family history of GDM/T2D and own preterm birth were independent risk factors for GDM.","author":[{"dropping-particle":"","family":"Mustaniemi","given":"Sanna","non-dropping-particle":"","parse-names":false,"suffix":""},{"dropping-particle":"","family":"Vääräsmäki","given":"Marja","non-dropping-particle":"","parse-names":false,"suffix":""},{"dropping-particle":"","family":"Eriksson","given":"Johan G","non-dropping-particle":"","parse-names":false,"suffix":""},{"dropping-particle":"","family":"Gissler","given":"Mika","non-dropping-particle":"","parse-names":false,"suffix":""},{"dropping-particle":"","family":"Laivuori","given":"Hannele","non-dropping-particle":"","parse-names":false,"suffix":""},{"dropping-particle":"","family":"Ijäs","given":"Hilkka","non-dropping-particle":"","parse-names":false,"suffix":""},{"dropping-particle":"","family":"Bloigu","given":"Aini","non-dropping-particle":"","parse-names":false,"suffix":""},{"dropping-particle":"","family":"Kajantie","given":"Eero","non-dropping-particle":"","parse-names":false,"suffix":""},{"dropping-particle":"","family":"Morin-Papunen","given":"Laure","non-dropping-particle":"","parse-names":false,"suffix":""}],"container-title":"Endocrine Connections","id":"ITEM-1","issue":"7","issued":{"date-parts":[["2018","7"]]},"page":"859-869","title":"Polycystic ovary syndrome and risk factors for gestational diabetes","type":"article-journal","volume":"7"},"uris":["http://www.mendeley.com/documents/?uuid=146520cb-46f4-3f62-b3b3-bd89d777eced"]},{"id":"ITEM-2","itemData":{"DOI":"10.1093/ije/dyaa039","ISSN":"0300-5771","PMID":"32374401","author":[{"dropping-particle":"","family":"Keikkala","given":"Elina","non-dropping-particle":"","parse-names":false,"suffix":""},{"dropping-particle":"","family":"Mustaniemi","given":"Sanna","non-dropping-particle":"","parse-names":false,"suffix":""},{"dropping-particle":"","family":"Koivunen","given":"Sanna","non-dropping-particle":"","parse-names":false,"suffix":""},{"dropping-particle":"","family":"Kinnunen","given":"Jenni","non-dropping-particle":"","parse-names":false,"suffix":""},{"dropping-particle":"","family":"Viljakainen","given":"Matti","non-dropping-particle":"","parse-names":false,"suffix":""},{"dropping-particle":"","family":"Männisto","given":"Tuija","non-dropping-particle":"","parse-names":false,"suffix":""},{"dropping-particle":"","family":"Ijäs","given":"Hilkka","non-dropping-particle":"","parse-names":false,"suffix":""},{"dropping-particle":"","family":"Pouta","given":"Anneli","non-dropping-particle":"","parse-names":false,"suffix":""},{"dropping-particle":"","family":"Kaaja","given":"Risto","non-dropping-particle":"","parse-names":false,"suffix":""},{"dropping-particle":"","family":"Eriksson","given":"Johan G","non-dropping-particle":"","parse-names":false,"suffix":""},{"dropping-particle":"","family":"Laivuori","given":"Hannele","non-dropping-particle":"","parse-names":false,"suffix":""},{"dropping-particle":"","family":"Gissler","given":"Mika","non-dropping-particle":"","parse-names":false,"suffix":""},{"dropping-particle":"","family":"Erkinheimo","given":"Tiina-Liisa","non-dropping-particle":"","parse-names":false,"suffix":""},{"dropping-particle":"","family":"Keravuo","given":"Ritva","non-dropping-particle":"","parse-names":false,"suffix":""},{"dropping-particle":"","family":"Huttunen","given":"Merja","non-dropping-particle":"","parse-names":false,"suffix":""},{"dropping-particle":"","family":"Metsälä","given":"Jenni","non-dropping-particle":"","parse-names":false,"suffix":""},{"dropping-particle":"","family":"Stach-Lempinen","given":"Beata","non-dropping-particle":"","parse-names":false,"suffix":""},{"dropping-particle":"","family":"Klemetti","given":"Miira M","non-dropping-particle":"","parse-names":false,"suffix":""},{"dropping-particle":"","family":"Tikkanen","given":"Minna","non-dropping-particle":"","parse-names":false,"suffix":""},{"dropping-particle":"","family":"Kajantie","given":"Eero","non-dropping-particle":"","parse-names":false,"suffix":""},{"dropping-particle":"","family":"Vääräsmäki","given":"Marja","non-dropping-particle":"","parse-names":false,"suffix":""}],"container-title":"International Journal of Epidemiology","id":"ITEM-2","issued":{"date-parts":[["2020","5","6"]]},"title":"Cohort Profile: The Finnish Gestational Diabetes (FinnGeDi) Study","type":"article-journal","volume":"dyaa039"},"uris":["http://www.mendeley.com/documents/?uuid=a40a6cba-3ec4-32b2-b89b-cfd6f9f48b47"]}],"mendeley":{"formattedCitation":"&lt;span style=\"baseline\"&gt;(12,13)&lt;/span&gt;","plainTextFormattedCitation":"(12,13)","previouslyFormattedCitation":"&lt;span style=\"baseline\"&gt;(12)&lt;/span&gt;"},"properties":{"noteIndex":0},"schema":"https://github.com/citation-style-language/schema/raw/master/csl-citation.json"}</w:instrText>
      </w:r>
      <w:r w:rsidR="00F307BE">
        <w:fldChar w:fldCharType="separate"/>
      </w:r>
      <w:r w:rsidR="002755CC" w:rsidRPr="002755CC">
        <w:rPr>
          <w:noProof/>
        </w:rPr>
        <w:t>(12,13)</w:t>
      </w:r>
      <w:r w:rsidR="00F307BE">
        <w:fldChar w:fldCharType="end"/>
      </w:r>
      <w:r w:rsidRPr="00772B1F">
        <w:t xml:space="preserve">. Women with GDM were recruited as they came to give birth, and the next consenting woman without GDM was recruited as a control from seven delivery hospitals in Finland (Oulu, Helsinki, </w:t>
      </w:r>
      <w:proofErr w:type="spellStart"/>
      <w:r w:rsidRPr="00772B1F">
        <w:t>Jyväskylä</w:t>
      </w:r>
      <w:proofErr w:type="spellEnd"/>
      <w:r w:rsidRPr="00772B1F">
        <w:t xml:space="preserve">, Pori, </w:t>
      </w:r>
      <w:proofErr w:type="spellStart"/>
      <w:r w:rsidRPr="00772B1F">
        <w:t>Kajaani</w:t>
      </w:r>
      <w:proofErr w:type="spellEnd"/>
      <w:r w:rsidRPr="00772B1F">
        <w:t xml:space="preserve">, </w:t>
      </w:r>
      <w:proofErr w:type="spellStart"/>
      <w:r w:rsidRPr="00772B1F">
        <w:t>Seinäjoki</w:t>
      </w:r>
      <w:proofErr w:type="spellEnd"/>
      <w:r w:rsidRPr="00772B1F">
        <w:t xml:space="preserve"> and Lappeenranta) between 2/2009 and 12/2012. Women with </w:t>
      </w:r>
      <w:proofErr w:type="spellStart"/>
      <w:r w:rsidRPr="00772B1F">
        <w:t>prepregnancy</w:t>
      </w:r>
      <w:proofErr w:type="spellEnd"/>
      <w:r w:rsidRPr="00772B1F">
        <w:t xml:space="preserve"> diabetes and multiple pregnancy were excluded. GDM was diagnosed by 2-hour 75 g oral glucose tolerance test (OGTT) (at 5-37 weeks of gestation) where the cut-off concentrations for venous plasma glucose were ≥ 5.3 mmol/l at baseline (fasting glucose), ≥ 10.0 mmol/l at 1 h or ≥ 8.6 mmol/l at 2 h after glucose intake. GDM diagnosis was set if one or more glucose concentrations exceeded the cut-off levels. Controls were confirmed by OGTT after 24 weeks of gestation. Data include cord blood DNA sample; clinical data from hospital and maternal welfare records; register data from national registers; and self-reported lifestyle, medical and family history data from questionnaires. Cohort is located at the National Institute for Health and Welfare (Oulu and Helsinki, Finland).</w:t>
      </w:r>
    </w:p>
    <w:p w14:paraId="6C64FFE4" w14:textId="480B49F3" w:rsidR="00772B1F" w:rsidRPr="00772B1F" w:rsidRDefault="00136F28" w:rsidP="00772B1F">
      <w:r>
        <w:t xml:space="preserve">DNA methylation data were pre-processed and </w:t>
      </w:r>
      <w:r w:rsidR="00772B1F" w:rsidRPr="00772B1F">
        <w:t>IDAT</w:t>
      </w:r>
      <w:r>
        <w:t xml:space="preserve"> files</w:t>
      </w:r>
      <w:r w:rsidR="00772B1F" w:rsidRPr="00772B1F">
        <w:t xml:space="preserve"> were imported using functions in the </w:t>
      </w:r>
      <w:proofErr w:type="spellStart"/>
      <w:r w:rsidR="00772B1F" w:rsidRPr="00136F28">
        <w:rPr>
          <w:i/>
        </w:rPr>
        <w:t>ChAMP</w:t>
      </w:r>
      <w:proofErr w:type="spellEnd"/>
      <w:r w:rsidR="00772B1F" w:rsidRPr="00772B1F">
        <w:t xml:space="preserve"> package</w:t>
      </w:r>
      <w:r w:rsidR="00FC0ABF">
        <w:t xml:space="preserve"> </w:t>
      </w:r>
      <w:r w:rsidR="00FC0ABF">
        <w:fldChar w:fldCharType="begin" w:fldLock="1"/>
      </w:r>
      <w:r w:rsidR="002755CC">
        <w:instrText>ADDIN CSL_CITATION {"citationItems":[{"id":"ITEM-1","itemData":{"DOI":"10.1093/bioinformatics/btt684","ISSN":"1367-4811 (Electronic)","PMID":"24336642","abstract":"UNLABELLED: The Illumina Infinium HumanMethylation450 BeadChip is a new platform for high-throughput DNA methylation analysis. Several methods for normalization and processing of these data have been published recently. Here we present an integrated analysis pipeline offering a choice of the most popular normalization methods while also introducing new methods for calling differentially methylated regions and detecting copy number aberrations. AVAILABILITY AND IMPLEMENTATION: ChAMP is implemented as a Bioconductor package in R. The package and the vignette can be downloaded at bioconductor.org","author":[{"dropping-particle":"","family":"Morris","given":"Tiffany J","non-dropping-particle":"","parse-names":false,"suffix":""},{"dropping-particle":"","family":"Butcher","given":"Lee M","non-dropping-particle":"","parse-names":false,"suffix":""},{"dropping-particle":"","family":"Feber","given":"Andrew","non-dropping-particle":"","parse-names":false,"suffix":""},{"dropping-particle":"","family":"Teschendorff","given":"Andrew E","non-dropping-particle":"","parse-names":false,"suffix":""},{"dropping-particle":"","family":"Chakravarthy","given":"Ankur R","non-dropping-particle":"","parse-names":false,"suffix":""},{"dropping-particle":"","family":"Wojdacz","given":"Tomasz K","non-dropping-particle":"","parse-names":false,"suffix":""},{"dropping-particle":"","family":"Beck","given":"Stephan","non-dropping-particle":"","parse-names":false,"suffix":""}],"container-title":"Bioinformatics (Oxford, England)","id":"ITEM-1","issue":"3","issued":{"date-parts":[["2014","2"]]},"language":"eng","page":"428-430","publisher-place":"England","title":"ChAMP: 450k Chip Analysis Methylation Pipeline.","type":"article-journal","volume":"30"},"uris":["http://www.mendeley.com/documents/?uuid=10fc8a7a-22e8-435f-8766-93e2481963e9"]}],"mendeley":{"formattedCitation":"&lt;span style=\"baseline\"&gt;(14)&lt;/span&gt;","plainTextFormattedCitation":"(14)","previouslyFormattedCitation":"&lt;span style=\"baseline\"&gt;(13)&lt;/span&gt;"},"properties":{"noteIndex":0},"schema":"https://github.com/citation-style-language/schema/raw/master/csl-citation.json"}</w:instrText>
      </w:r>
      <w:r w:rsidR="00FC0ABF">
        <w:fldChar w:fldCharType="separate"/>
      </w:r>
      <w:r w:rsidR="002755CC" w:rsidRPr="002755CC">
        <w:rPr>
          <w:noProof/>
        </w:rPr>
        <w:t>(14)</w:t>
      </w:r>
      <w:r w:rsidR="00FC0ABF">
        <w:fldChar w:fldCharType="end"/>
      </w:r>
      <w:r w:rsidR="00772B1F" w:rsidRPr="00772B1F">
        <w:t>. Samples with a call rate below 95 % were excluded and probes with a call rate below 100 %. Call rate were computed using a 1 % threshold on the detection p-values. Probes which align to multiple locations, are non-</w:t>
      </w:r>
      <w:r w:rsidR="00772B1F">
        <w:t>C</w:t>
      </w:r>
      <w:r w:rsidR="00772B1F" w:rsidRPr="00772B1F">
        <w:t>p</w:t>
      </w:r>
      <w:r w:rsidR="00772B1F">
        <w:t>G</w:t>
      </w:r>
      <w:r w:rsidR="00772B1F" w:rsidRPr="00772B1F">
        <w:t>, with bead counts less than 3 were excluded. Type I and type II probes were normalised using the Regression on Correlated Probes (RCP) method</w:t>
      </w:r>
      <w:r w:rsidR="00772B1F">
        <w:t xml:space="preserve"> </w:t>
      </w:r>
      <w:r w:rsidR="00FC0ABF">
        <w:fldChar w:fldCharType="begin" w:fldLock="1"/>
      </w:r>
      <w:r w:rsidR="002755CC">
        <w:instrText>ADDIN CSL_CITATION {"citationItems":[{"id":"ITEM-1","itemData":{"DOI":"10.1093/bioinformatics/btw285","ISSN":"1367-4811","PMID":"27153672","abstract":"MOTIVATION The Illumina HumanMethylation450 BeadChip has been extensively utilized in epigenome-wide association studies. This array and its successor, the MethylationEPIC array, use two types of probes-Infinium I (type I) and Infinium II (type II)-in order to increase genome coverage but differences in probe chemistries result in different type I and II distributions of methylation values. Ignoring the difference in distributions between the two probe types may bias downstream analysis. RESULTS Here, we developed a novel method, called Regression on Correlated Probes (RCP), which uses the existing correlation between pairs of nearby type I and II probes to adjust the beta values of all type II probes. We evaluate the effect of this adjustment on reducing probe design type bias, reducing technical variation in duplicate samples, improving accuracy of measurements against known standards, and retention of biological signal. We find that RCP is statistically significantly better than unadjusted data or adjustment with alternative methods including SWAN and BMIQ. AVAILABILITY We incorporated the method into the R package ENmix, which is freely available from the Bioconductor website (https://www.bioconductor.org/packages/release/bioc/html/ENmix.html). CONTACT niulg@ucmail.uc.edu SUPPLEMENTARY INFORMATION Supplementary data are available at Bioinformatics online.","author":[{"dropping-particle":"","family":"Niu","given":"Liang","non-dropping-particle":"","parse-names":false,"suffix":""},{"dropping-particle":"","family":"Xu","given":"Zongli","non-dropping-particle":"","parse-names":false,"suffix":""},{"dropping-particle":"","family":"Taylor","given":"Jack A","non-dropping-particle":"","parse-names":false,"suffix":""}],"container-title":"Bioinformatics (Oxford, England)","id":"ITEM-1","issue":"17","issued":{"date-parts":[["2016"]]},"page":"2659-63","publisher":"Oxford University Press","title":"RCP: a novel probe design bias correction method for Illumina Methylation BeadChip.","type":"article-journal","volume":"32"},"uris":["http://www.mendeley.com/documents/?uuid=3f7dc494-f8aa-3bad-a1f5-3241fa35e64a"]}],"mendeley":{"formattedCitation":"&lt;span style=\"baseline\"&gt;(15)&lt;/span&gt;","plainTextFormattedCitation":"(15)","previouslyFormattedCitation":"&lt;span style=\"baseline\"&gt;(14)&lt;/span&gt;"},"properties":{"noteIndex":0},"schema":"https://github.com/citation-style-language/schema/raw/master/csl-citation.json"}</w:instrText>
      </w:r>
      <w:r w:rsidR="00FC0ABF">
        <w:fldChar w:fldCharType="separate"/>
      </w:r>
      <w:r w:rsidR="002755CC" w:rsidRPr="002755CC">
        <w:rPr>
          <w:noProof/>
        </w:rPr>
        <w:t>(15)</w:t>
      </w:r>
      <w:r w:rsidR="00FC0ABF">
        <w:fldChar w:fldCharType="end"/>
      </w:r>
      <w:r w:rsidR="00FC0ABF">
        <w:t xml:space="preserve"> </w:t>
      </w:r>
      <w:r w:rsidR="00772B1F" w:rsidRPr="00772B1F">
        <w:t xml:space="preserve">from the </w:t>
      </w:r>
      <w:proofErr w:type="spellStart"/>
      <w:r w:rsidR="00772B1F" w:rsidRPr="00772B1F">
        <w:t>ENmix</w:t>
      </w:r>
      <w:proofErr w:type="spellEnd"/>
      <w:r w:rsidR="00772B1F" w:rsidRPr="00772B1F">
        <w:t xml:space="preserve"> package </w:t>
      </w:r>
      <w:r w:rsidR="00FC0ABF">
        <w:fldChar w:fldCharType="begin" w:fldLock="1"/>
      </w:r>
      <w:r w:rsidR="002755CC">
        <w:instrText>ADDIN CSL_CITATION {"citationItems":[{"id":"ITEM-1","itemData":{"DOI":"10.1093/nar/gkv907","ISSN":"1362-4962","PMID":"26384415","abstract":"The Illumina HumanMethylation450 BeadChip is increasingly utilized in epigenome-wide association studies, however, this array-based measurement of DNA methylation is subject to measurement variation. Appropriate data preprocessing to remove background noise is important for detecting the small changes that may be associated with disease. We developed a novel background correction method, ENmix, that uses a mixture of exponential and truncated normal distributions to flexibly model signal intensity and uses a truncated normal distribution to model background noise. Depending on data availability, we employ three approaches to estimate background normal distribution parameters using (i) internal chip negative controls, (ii) out-of-band Infinium I probe intensities or (iii) combined methylated and unmethylated intensities. We evaluate ENmix against other available methods for both reproducibility among duplicate samples and accuracy of methylation measurement among laboratory control samples. ENmix out-performed other background correction methods for both these measures and substantially reduced the probe-design type bias between Infinium I and II probes. In reanalysis of existing EWAS data we show that ENmix can identify additional CpGs, and results in smaller P-value estimates for previously-validated CpGs. We incorporated the method into R package ENmix, which is freely available from Bioconductor website.","author":[{"dropping-particle":"","family":"Xu","given":"Zongli","non-dropping-particle":"","parse-names":false,"suffix":""},{"dropping-particle":"","family":"Niu","given":"Liang","non-dropping-particle":"","parse-names":false,"suffix":""},{"dropping-particle":"","family":"Li","given":"Leping","non-dropping-particle":"","parse-names":false,"suffix":""},{"dropping-particle":"","family":"Taylor","given":"Jack A","non-dropping-particle":"","parse-names":false,"suffix":""}],"container-title":"Nucleic acids research","id":"ITEM-1","issue":"3","issued":{"date-parts":[["2016","2","18"]]},"page":"e20","publisher":"Oxford University Press","title":"ENmix: a novel background correction method for Illumina HumanMethylation450 BeadChip.","type":"article-journal","volume":"44"},"uris":["http://www.mendeley.com/documents/?uuid=d1c2b595-4f7f-31cf-ad7b-b886e71cce60"]}],"mendeley":{"formattedCitation":"&lt;span style=\"baseline\"&gt;(16)&lt;/span&gt;","plainTextFormattedCitation":"(16)","previouslyFormattedCitation":"&lt;span style=\"baseline\"&gt;(15)&lt;/span&gt;"},"properties":{"noteIndex":0},"schema":"https://github.com/citation-style-language/schema/raw/master/csl-citation.json"}</w:instrText>
      </w:r>
      <w:r w:rsidR="00FC0ABF">
        <w:fldChar w:fldCharType="separate"/>
      </w:r>
      <w:r w:rsidR="002755CC" w:rsidRPr="002755CC">
        <w:rPr>
          <w:noProof/>
        </w:rPr>
        <w:t>(16)</w:t>
      </w:r>
      <w:r w:rsidR="00FC0ABF">
        <w:fldChar w:fldCharType="end"/>
      </w:r>
      <w:r w:rsidR="00772B1F" w:rsidRPr="00772B1F">
        <w:t xml:space="preserve">. Data were normalised for possible batch effect bias using the Combat function from the </w:t>
      </w:r>
      <w:proofErr w:type="spellStart"/>
      <w:r w:rsidR="00772B1F" w:rsidRPr="00136F28">
        <w:rPr>
          <w:i/>
        </w:rPr>
        <w:t>sva</w:t>
      </w:r>
      <w:proofErr w:type="spellEnd"/>
      <w:r w:rsidR="00772B1F" w:rsidRPr="00772B1F">
        <w:t xml:space="preserve"> package, with batch/slide as covariate.</w:t>
      </w:r>
    </w:p>
    <w:p w14:paraId="0130D4AD" w14:textId="2286E359" w:rsidR="00503344" w:rsidRDefault="00772B1F" w:rsidP="00136F28">
      <w:r w:rsidRPr="00772B1F">
        <w:t xml:space="preserve">Covariates used in the analyses included: sex (binary, 0=female, 1=male), maternal age (continuous in years), gestational age at </w:t>
      </w:r>
      <w:r w:rsidR="00136F28">
        <w:t>maternal haemoglobin</w:t>
      </w:r>
      <w:r w:rsidRPr="00772B1F">
        <w:t xml:space="preserve"> measurement (continuous in days), gestational age at birth (continuous in days), parity (binary, 0=nulliparous, 1=</w:t>
      </w:r>
      <w:proofErr w:type="spellStart"/>
      <w:r w:rsidRPr="00772B1F">
        <w:t>primi</w:t>
      </w:r>
      <w:proofErr w:type="spellEnd"/>
      <w:r w:rsidRPr="00772B1F">
        <w:t>-/multiparous)</w:t>
      </w:r>
      <w:r w:rsidR="00136F28">
        <w:t xml:space="preserve">, maternal education (1=basic education or less, 2=secondary education, 3=lower-level tertiary education, 4=upper-level tertiary </w:t>
      </w:r>
      <w:r w:rsidR="00136F28">
        <w:lastRenderedPageBreak/>
        <w:t>education)</w:t>
      </w:r>
      <w:r w:rsidRPr="00772B1F">
        <w:t xml:space="preserve"> and gestational diabetes</w:t>
      </w:r>
      <w:r w:rsidR="00136F28">
        <w:t xml:space="preserve"> status</w:t>
      </w:r>
      <w:r w:rsidRPr="00772B1F">
        <w:t xml:space="preserve"> (0=no gestational diabetes, 1=gestational diabetes). Cell proportions were estimated using </w:t>
      </w:r>
      <w:proofErr w:type="spellStart"/>
      <w:r w:rsidRPr="00772B1F">
        <w:t>estimateCellCounts</w:t>
      </w:r>
      <w:proofErr w:type="spellEnd"/>
      <w:r w:rsidRPr="00772B1F">
        <w:t xml:space="preserve">() in the </w:t>
      </w:r>
      <w:proofErr w:type="spellStart"/>
      <w:r w:rsidRPr="00136F28">
        <w:rPr>
          <w:i/>
        </w:rPr>
        <w:t>minfi</w:t>
      </w:r>
      <w:proofErr w:type="spellEnd"/>
      <w:r w:rsidRPr="00772B1F">
        <w:t xml:space="preserve"> package </w:t>
      </w:r>
      <w:r w:rsidR="008F6272">
        <w:fldChar w:fldCharType="begin" w:fldLock="1"/>
      </w:r>
      <w:r w:rsidR="008F6272">
        <w:instrText>ADDIN CSL_CITATION {"citationItems":[{"id":"ITEM-1","itemData":{"DOI":"10.1093/bioinformatics/btu049","ISSN":"1367-4811 (Electronic)","PMID":"24478339","abstract":"MOTIVATION: The recently released Infinium HumanMethylation450 array (the '450k' array) provides a high-throughput assay to quantify DNA methylation (DNAm) at approximately 450 000 loci across a range of genomic features. Although less comprehensive than high-throughput sequencing-based techniques, this product is more cost-effective and promises to be the most widely used DNAm high-throughput measurement technology over the next several years. RESULTS: Here we describe a suite of computational tools that incorporate state-of-the-art statistical techniques for the analysis of DNAm data. The software is structured to easily adapt to future versions of the technology. We include methods for preprocessing, quality assessment and detection of differentially methylated regions from the kilobase to the megabase scale. We show how our software provides a powerful and flexible development platform for future methods. We also illustrate how our methods empower the technology to make discoveries previously thought to be possible only with sequencing-based methods. AVAILABILITY AND IMPLEMENTATION: http://bioconductor.org/packages/release/bioc/html/minfi.html. CONTACT: khansen@jhsph.edu; rafa@jimmy.harvard.edu SUPPLEMENTARY INFORMATION: Supplementary data are available at Bioinformatics online.","author":[{"dropping-particle":"","family":"Aryee","given":"Martin J","non-dropping-particle":"","parse-names":false,"suffix":""},{"dropping-particle":"","family":"Jaffe","given":"Andrew E","non-dropping-particle":"","parse-names":false,"suffix":""},{"dropping-particle":"","family":"Corrada-Bravo","given":"Hector","non-dropping-particle":"","parse-names":false,"suffix":""},{"dropping-particle":"","family":"Ladd-Acosta","given":"Christine","non-dropping-particle":"","parse-names":false,"suffix":""},{"dropping-particle":"","family":"Feinberg","given":"Andrew P","non-dropping-particle":"","parse-names":false,"suffix":""},{"dropping-particle":"","family":"Hansen","given":"Kasper D","non-dropping-particle":"","parse-names":false,"suffix":""},{"dropping-particle":"","family":"Irizarry","given":"Rafael A","non-dropping-particle":"","parse-names":false,"suffix":""}],"container-title":"Bioinformatics (Oxford, England)","id":"ITEM-1","issue":"10","issued":{"date-parts":[["2014","5"]]},"language":"eng","page":"1363-1369","publisher-place":"England","title":"Minfi: a flexible and comprehensive Bioconductor package for the analysis of Infinium DNA methylation microarrays.","type":"article-journal","volume":"30"},"uris":["http://www.mendeley.com/documents/?uuid=feec687b-7c51-4a7c-b578-fe16b28703f8"]}],"mendeley":{"formattedCitation":"&lt;span style=\"baseline\"&gt;(7)&lt;/span&gt;","plainTextFormattedCitation":"(7)","previouslyFormattedCitation":"&lt;span style=\"baseline\"&gt;(7)&lt;/span&gt;"},"properties":{"noteIndex":0},"schema":"https://github.com/citation-style-language/schema/raw/master/csl-citation.json"}</w:instrText>
      </w:r>
      <w:r w:rsidR="008F6272">
        <w:fldChar w:fldCharType="separate"/>
      </w:r>
      <w:r w:rsidR="008F6272" w:rsidRPr="008F6272">
        <w:rPr>
          <w:noProof/>
        </w:rPr>
        <w:t>(7)</w:t>
      </w:r>
      <w:r w:rsidR="008F6272">
        <w:fldChar w:fldCharType="end"/>
      </w:r>
      <w:r w:rsidRPr="00772B1F">
        <w:t xml:space="preserve"> and the reference panel </w:t>
      </w:r>
      <w:proofErr w:type="spellStart"/>
      <w:r w:rsidRPr="00772B1F">
        <w:t>FlowSorted.Blood.EPIC</w:t>
      </w:r>
      <w:proofErr w:type="spellEnd"/>
      <w:r w:rsidR="00FC0ABF">
        <w:t xml:space="preserve"> </w:t>
      </w:r>
      <w:r w:rsidR="00FC0ABF">
        <w:fldChar w:fldCharType="begin" w:fldLock="1"/>
      </w:r>
      <w:r w:rsidR="002755CC">
        <w:instrText>ADDIN CSL_CITATION {"citationItems":[{"id":"ITEM-1","itemData":{"DOI":"10.1186/S13059-018-1448-7","ISSN":"1474-760X","PMID":"29843789","abstract":"Genome-wide methylation arrays are powerful tools for assessing cell composition of complex mixtures. We compare three approaches to select reference libraries for deconvoluting neutrophil, monocyte, B-lymphocyte, natural killer, and CD4+ and CD8+ T-cell fractions based on blood-derived DNA methylation signatures assayed using the Illumina HumanMethylationEPIC array. The IDOL algorithm identifies a library of 450 CpGs, resulting in an average R2 = 99.2 across cell types when applied to EPIC methylation data collected on artificial mixtures constructed from the above cell types. Of the 450 CpGs, 69% are unique to EPIC. This library has the potential to reduce unintended technical differences across array platforms.","author":[{"dropping-particle":"","family":"Salas","given":"Lucas A.","non-dropping-particle":"","parse-names":false,"suffix":""},{"dropping-particle":"","family":"Koestler","given":"Devin C.","non-dropping-particle":"","parse-names":false,"suffix":""},{"dropping-particle":"","family":"Butler","given":"Rondi A.","non-dropping-particle":"","parse-names":false,"suffix":""},{"dropping-particle":"","family":"Hansen","given":"Helen M.","non-dropping-particle":"","parse-names":false,"suffix":""},{"dropping-particle":"","family":"Wiencke","given":"John K.","non-dropping-particle":"","parse-names":false,"suffix":""},{"dropping-particle":"","family":"Kelsey","given":"Karl T.","non-dropping-particle":"","parse-names":false,"suffix":""},{"dropping-particle":"","family":"Christensen","given":"Brock C.","non-dropping-particle":"","parse-names":false,"suffix":""}],"container-title":"Genome Biology","id":"ITEM-1","issue":"1","issued":{"date-parts":[["2018"]]},"page":"64","publisher":"BioMed Central","title":"An optimized library for reference-based deconvolution of whole-blood biospecimens assayed using the Illumina HumanMethylationEPIC BeadArray","type":"article-journal","volume":"19"},"uris":["http://www.mendeley.com/documents/?uuid=abcef082-cead-3f21-886d-789d6f047cdd"]}],"mendeley":{"formattedCitation":"&lt;span style=\"baseline\"&gt;(17)&lt;/span&gt;","plainTextFormattedCitation":"(17)","previouslyFormattedCitation":"&lt;span style=\"baseline\"&gt;(16)&lt;/span&gt;"},"properties":{"noteIndex":0},"schema":"https://github.com/citation-style-language/schema/raw/master/csl-citation.json"}</w:instrText>
      </w:r>
      <w:r w:rsidR="00FC0ABF">
        <w:fldChar w:fldCharType="separate"/>
      </w:r>
      <w:r w:rsidR="002755CC" w:rsidRPr="002755CC">
        <w:rPr>
          <w:noProof/>
        </w:rPr>
        <w:t>(17)</w:t>
      </w:r>
      <w:r w:rsidR="00FC0ABF">
        <w:fldChar w:fldCharType="end"/>
      </w:r>
      <w:r w:rsidRPr="00772B1F">
        <w:t xml:space="preserve">. To improve the performance of this estimate, we used the </w:t>
      </w:r>
      <w:proofErr w:type="spellStart"/>
      <w:r w:rsidRPr="00772B1F">
        <w:t>IDentifying</w:t>
      </w:r>
      <w:proofErr w:type="spellEnd"/>
      <w:r w:rsidRPr="00772B1F">
        <w:t xml:space="preserve"> Optimal DNA methylation Libraries (IDOL) algorithm </w:t>
      </w:r>
      <w:r w:rsidR="00FC0ABF">
        <w:fldChar w:fldCharType="begin" w:fldLock="1"/>
      </w:r>
      <w:r w:rsidR="002755CC">
        <w:instrText>ADDIN CSL_CITATION {"citationItems":[{"id":"ITEM-1","itemData":{"DOI":"10.1186/s12859-016-0943-7","ISSN":"1471-2105","PMID":"26956433","abstract":"BACKGROUND Confounding due to cellular heterogeneity represents one of the foremost challenges currently facing Epigenome-Wide Association Studies (EWAS). Statistical methods leveraging the tissue-specificity of DNA methylation for deconvoluting the cellular mixture of heterogenous biospecimens offer a promising solution, however the performance of such methods depends entirely on the library of methylation markers being used for deconvolution. Here, we introduce a novel algorithm for Identifying Optimal Libraries (IDOL) that dynamically scans a candidate set of cell-specific methylation markers to find libraries that optimize the accuracy of cell fraction estimates obtained from cell mixture deconvolution. RESULTS Application of IDOL to training set consisting of samples with both whole-blood DNA methylation data (Illumina HumanMethylation450 BeadArray (HM450)) and flow cytometry measurements of cell composition revealed an optimized library comprised of 300 CpG sites. When compared existing libraries, the library identified by IDOL demonstrated significantly better overall discrimination of the entire immune cell landscape (p = 0.038), and resulted in improved discrimination of 14 out of the 15 pairs of leukocyte subtypes. Estimates of cell composition across the samples in the training set using the IDOL library were highly correlated with their respective flow cytometry measurements, with all cell-specific R (2)&gt;0.99 and root mean square errors (RMSEs) ranging from [0.97 % to 1.33 %] across leukocyte subtypes. Independent validation of the optimized IDOL library using two additional HM450 data sets showed similarly strong prediction performance, with all cell-specific R (2)&gt;0.90 and R M S E&lt;4.00 %. In simulation studies, adjustments for cell composition using the IDOL library resulted in uniformly lower false positive rates compared to competing libraries, while also demonstrating an improved capacity to explain epigenome-wide variation in DNA methylation within two large publicly available HM450 data sets. CONCLUSIONS Despite consisting of half as many CpGs compared to existing libraries for whole blood mixture deconvolution, the optimized IDOL library identified herein resulted in outstanding prediction performance across all considered data sets and demonstrated potential to improve the operating characteristics of EWAS involving adjustments for cell distribution. In addition to providing the EWAS community with an optimized library for whole blo…","author":[{"dropping-particle":"","family":"Koestler","given":"Devin C.","non-dropping-particle":"","parse-names":false,"suffix":""},{"dropping-particle":"","family":"Jones","given":"Meaghan J.","non-dropping-particle":"","parse-names":false,"suffix":""},{"dropping-particle":"","family":"Usset","given":"Joseph","non-dropping-particle":"","parse-names":false,"suffix":""},{"dropping-particle":"","family":"Christensen","given":"Brock C.","non-dropping-particle":"","parse-names":false,"suffix":""},{"dropping-particle":"","family":"Butler","given":"Rondi A.","non-dropping-particle":"","parse-names":false,"suffix":""},{"dropping-particle":"","family":"Kobor","given":"Michael S.","non-dropping-particle":"","parse-names":false,"suffix":""},{"dropping-particle":"","family":"Wiencke","given":"John K.","non-dropping-particle":"","parse-names":false,"suffix":""},{"dropping-particle":"","family":"Kelsey","given":"Karl T.","non-dropping-particle":"","parse-names":false,"suffix":""}],"container-title":"BMC Bioinformatics","id":"ITEM-1","issue":"1","issued":{"date-parts":[["2016","12","8"]]},"page":"120","publisher":"BioMed Central","title":"Improving cell mixture deconvolution by identifying optimal DNA methylation libraries (IDOL)","type":"article-journal","volume":"17"},"uris":["http://www.mendeley.com/documents/?uuid=84764470-bd54-3f96-a263-4466754a6e06"]}],"mendeley":{"formattedCitation":"&lt;span style=\"baseline\"&gt;(18)&lt;/span&gt;","plainTextFormattedCitation":"(18)","previouslyFormattedCitation":"&lt;span style=\"baseline\"&gt;(17)&lt;/span&gt;"},"properties":{"noteIndex":0},"schema":"https://github.com/citation-style-language/schema/raw/master/csl-citation.json"}</w:instrText>
      </w:r>
      <w:r w:rsidR="00FC0ABF">
        <w:fldChar w:fldCharType="separate"/>
      </w:r>
      <w:r w:rsidR="002755CC" w:rsidRPr="002755CC">
        <w:rPr>
          <w:noProof/>
        </w:rPr>
        <w:t>(18)</w:t>
      </w:r>
      <w:r w:rsidR="00FC0ABF">
        <w:fldChar w:fldCharType="end"/>
      </w:r>
      <w:r w:rsidRPr="00772B1F">
        <w:t xml:space="preserve">. Cell estimates included in the models were </w:t>
      </w:r>
      <w:proofErr w:type="spellStart"/>
      <w:r w:rsidRPr="00772B1F">
        <w:t>nRBC</w:t>
      </w:r>
      <w:proofErr w:type="spellEnd"/>
      <w:r w:rsidRPr="00772B1F">
        <w:t xml:space="preserve">, CD8T, CD4T, NK, </w:t>
      </w:r>
      <w:proofErr w:type="spellStart"/>
      <w:r w:rsidRPr="00772B1F">
        <w:t>Bcell</w:t>
      </w:r>
      <w:proofErr w:type="spellEnd"/>
      <w:r w:rsidRPr="00772B1F">
        <w:t xml:space="preserve">, Mono and Gran. All mothers were non-smokers and of Finnish ancestry.  </w:t>
      </w:r>
    </w:p>
    <w:p w14:paraId="6002D6FF" w14:textId="23CDC5C2" w:rsidR="000E0267" w:rsidRDefault="000E0267" w:rsidP="000E0267">
      <w:pPr>
        <w:pStyle w:val="Heading2"/>
      </w:pPr>
      <w:r>
        <w:t>Acknowledgements</w:t>
      </w:r>
    </w:p>
    <w:p w14:paraId="4DAE55EE" w14:textId="31DBEDC5" w:rsidR="000E0267" w:rsidRPr="00F22C77" w:rsidRDefault="000E0267" w:rsidP="000E0267">
      <w:proofErr w:type="spellStart"/>
      <w:r>
        <w:t>EKa</w:t>
      </w:r>
      <w:proofErr w:type="spellEnd"/>
      <w:r>
        <w:t xml:space="preserve"> has received funding from the Horizon2020 Award 733280 RECAP Research on Children and Adults Born Preterm, Academy of Finland (grant 315690), Foundation for </w:t>
      </w:r>
      <w:proofErr w:type="spellStart"/>
      <w:r>
        <w:t>Pediatric</w:t>
      </w:r>
      <w:proofErr w:type="spellEnd"/>
      <w:r>
        <w:t xml:space="preserve"> Research, Novo Nordisk Foundation, Signe and </w:t>
      </w:r>
      <w:proofErr w:type="spellStart"/>
      <w:r>
        <w:t>Ane</w:t>
      </w:r>
      <w:proofErr w:type="spellEnd"/>
      <w:r>
        <w:t xml:space="preserve"> </w:t>
      </w:r>
      <w:proofErr w:type="spellStart"/>
      <w:r>
        <w:t>Gyllenberg</w:t>
      </w:r>
      <w:proofErr w:type="spellEnd"/>
      <w:r>
        <w:t xml:space="preserve"> Foundation and Sigrid </w:t>
      </w:r>
      <w:proofErr w:type="spellStart"/>
      <w:r>
        <w:t>Jusélius</w:t>
      </w:r>
      <w:proofErr w:type="spellEnd"/>
      <w:r>
        <w:t xml:space="preserve"> Foundation. </w:t>
      </w:r>
      <w:proofErr w:type="spellStart"/>
      <w:r>
        <w:t>EKe</w:t>
      </w:r>
      <w:proofErr w:type="spellEnd"/>
      <w:r>
        <w:t xml:space="preserve"> has received funding from the Finnish Medical Association. SM has received funding from the University of Oulu Graduate School (</w:t>
      </w:r>
      <w:proofErr w:type="spellStart"/>
      <w:r>
        <w:t>UniOGS</w:t>
      </w:r>
      <w:proofErr w:type="spellEnd"/>
      <w:r>
        <w:t xml:space="preserve">). MV has received funding from </w:t>
      </w:r>
      <w:r w:rsidRPr="00F22C77">
        <w:t xml:space="preserve">the Research Funds of Oulu University Hospital, </w:t>
      </w:r>
      <w:proofErr w:type="spellStart"/>
      <w:r w:rsidRPr="00F22C77">
        <w:t>Juho</w:t>
      </w:r>
      <w:proofErr w:type="spellEnd"/>
      <w:r w:rsidRPr="00F22C77">
        <w:t xml:space="preserve"> Vainio Foundation and Signe and </w:t>
      </w:r>
      <w:proofErr w:type="spellStart"/>
      <w:r w:rsidRPr="00F22C77">
        <w:t>Ane</w:t>
      </w:r>
      <w:proofErr w:type="spellEnd"/>
      <w:r w:rsidRPr="00F22C77">
        <w:t xml:space="preserve"> </w:t>
      </w:r>
      <w:proofErr w:type="spellStart"/>
      <w:r w:rsidRPr="00F22C77">
        <w:t>Gyllenberg</w:t>
      </w:r>
      <w:proofErr w:type="spellEnd"/>
      <w:r w:rsidRPr="00F22C77">
        <w:t xml:space="preserve"> Foundation</w:t>
      </w:r>
    </w:p>
    <w:p w14:paraId="003408A6" w14:textId="77777777" w:rsidR="00772B1F" w:rsidRPr="00F22C77" w:rsidRDefault="00772B1F" w:rsidP="00CA7657"/>
    <w:p w14:paraId="495BAFA3" w14:textId="77777777" w:rsidR="00667E49" w:rsidRDefault="00667E49" w:rsidP="00CA7657">
      <w:r>
        <w:br w:type="page"/>
      </w:r>
    </w:p>
    <w:p w14:paraId="5D6DE24C" w14:textId="754BBFD5" w:rsidR="009B6226" w:rsidRPr="00F774A6" w:rsidRDefault="009B6226" w:rsidP="00CA7657">
      <w:pPr>
        <w:pStyle w:val="Heading1"/>
      </w:pPr>
      <w:r w:rsidRPr="00F774A6">
        <w:lastRenderedPageBreak/>
        <w:t>Generation R</w:t>
      </w:r>
    </w:p>
    <w:p w14:paraId="5B8F59FF" w14:textId="0FB181A7" w:rsidR="008C7454" w:rsidRPr="008C7454" w:rsidRDefault="008D53A0" w:rsidP="008D53A0">
      <w:r w:rsidRPr="008D53A0">
        <w:t>The Generation R Study is a prospective population-based cohort in Rotterdam, the Netherlands</w:t>
      </w:r>
      <w:r w:rsidR="008F6272">
        <w:t xml:space="preserve"> </w:t>
      </w:r>
      <w:r w:rsidR="008F6272">
        <w:fldChar w:fldCharType="begin" w:fldLock="1"/>
      </w:r>
      <w:r w:rsidR="002755CC">
        <w:instrText>ADDIN CSL_CITATION {"citationItems":[{"id":"ITEM-1","itemData":{"DOI":"10.1007/s10654-016-0224-9","ISSN":"1573-7284 (Electronic)","PMID":"28070760","abstract":"The Generation R Study is a population-based prospective cohort study from fetal life until adulthood. The study is designed to identify early environmental and genetic causes and causal pathways leading to normal and abnormal growth, development and health from fetal life, childhood and young adulthood. This multidisciplinary study focuses on several health outcomes including behaviour and cognition, body composition, eye development, growth, hearing, heart and vascular development, infectious disease and immunity, oral health and facial growth, respiratory health, allergy and skin disorders of children and their parents. Main exposures of interest include environmental, endocrine, genomic (genetic, epigenetic, microbiome), lifestyle related, nutritional and socio- demographic determinants. In total, 9778 mothers with a delivery date from April 2002 until January 2006 were enrolled in the study. Response at baseline was 61%, and general follow-up rates until the age of 10 years were around 80%. Data collection in children and their parents includes questionnaires, interviews, detailed physical and ultrasound examinations, behavioural observations, lung function, Magnetic Resonance Imaging and biological sampling. Genome and epigenome wide association screens are available. Eventually, results from the Generation R Study contribute to the development of strategies for optimizing health and healthcare for pregnant women and children.","author":[{"dropping-particle":"","family":"Kooijman","given":"Marjolein N","non-dropping-particle":"","parse-names":false,"suffix":""},{"dropping-particle":"","family":"Kruithof","given":"Claudia J","non-dropping-particle":"","parse-names":false,"suffix":""},{"dropping-particle":"","family":"Duijn","given":"Cornelia M","non-dropping-particle":"van","parse-names":false,"suffix":""},{"dropping-particle":"","family":"Duijts","given":"Liesbeth","non-dropping-particle":"","parse-names":false,"suffix":""},{"dropping-particle":"","family":"Franco","given":"Oscar H","non-dropping-particle":"","parse-names":false,"suffix":""},{"dropping-particle":"","family":"IJzendoorn","given":"Marinus H","non-dropping-particle":"van","parse-names":false,"suffix":""},{"dropping-particle":"","family":"Jongste","given":"Johan C","non-dropping-particle":"de","parse-names":false,"suffix":""},{"dropping-particle":"","family":"Klaver","given":"Caroline C W","non-dropping-particle":"","parse-names":false,"suffix":""},{"dropping-particle":"","family":"Lugt","given":"Aad","non-dropping-particle":"van der","parse-names":false,"suffix":""},{"dropping-particle":"","family":"Mackenbach","given":"Johan P","non-dropping-particle":"","parse-names":false,"suffix":""},{"dropping-particle":"","family":"Moll","given":"Henriette A","non-dropping-particle":"","parse-names":false,"suffix":""},{"dropping-particle":"","family":"Peeters","given":"Robin P","non-dropping-particle":"","parse-names":false,"suffix":""},{"dropping-particle":"","family":"Raat","given":"Hein","non-dropping-particle":"","parse-names":false,"suffix":""},{"dropping-particle":"","family":"Rings","given":"Edmond H H M","non-dropping-particle":"","parse-names":false,"suffix":""},{"dropping-particle":"","family":"Rivadeneira","given":"Fernando","non-dropping-particle":"","parse-names":false,"suffix":""},{"dropping-particle":"","family":"Schroeff","given":"Marc P","non-dropping-particle":"van der","parse-names":false,"suffix":""},{"dropping-particle":"","family":"Steegers","given":"Eric A P","non-dropping-particle":"","parse-names":false,"suffix":""},{"dropping-particle":"","family":"Tiemeier","given":"Henning","non-dropping-particle":"","parse-names":false,"suffix":""},{"dropping-particle":"","family":"Uitterlinden","given":"Andre G","non-dropping-particle":"","parse-names":false,"suffix":""},{"dropping-particle":"","family":"Verhulst","given":"Frank C","non-dropping-particle":"","parse-names":false,"suffix":""},{"dropping-particle":"","family":"Wolvius","given":"Eppo","non-dropping-particle":"","parse-names":false,"suffix":""},{"dropping-particle":"","family":"Felix","given":"Janine F","non-dropping-particle":"","parse-names":false,"suffix":""},{"dropping-particle":"V","family":"Jaddoe","given":"Vincent W","non-dropping-particle":"","parse-names":false,"suffix":""}],"container-title":"European journal of epidemiology","id":"ITEM-1","issue":"12","issued":{"date-parts":[["2016","12"]]},"language":"eng","page":"1243-1264","publisher-place":"Netherlands","title":"The Generation R Study: design and cohort update 2017.","type":"article-journal","volume":"31"},"uris":["http://www.mendeley.com/documents/?uuid=5d915af8-cacc-425b-90ef-aa5021dddc5a"]}],"mendeley":{"formattedCitation":"&lt;span style=\"baseline\"&gt;(19)&lt;/span&gt;","plainTextFormattedCitation":"(19)","previouslyFormattedCitation":"&lt;span style=\"baseline\"&gt;(18)&lt;/span&gt;"},"properties":{"noteIndex":0},"schema":"https://github.com/citation-style-language/schema/raw/master/csl-citation.json"}</w:instrText>
      </w:r>
      <w:r w:rsidR="008F6272">
        <w:fldChar w:fldCharType="separate"/>
      </w:r>
      <w:r w:rsidR="002755CC" w:rsidRPr="002755CC">
        <w:rPr>
          <w:noProof/>
        </w:rPr>
        <w:t>(19)</w:t>
      </w:r>
      <w:r w:rsidR="008F6272">
        <w:fldChar w:fldCharType="end"/>
      </w:r>
      <w:r w:rsidRPr="008D53A0">
        <w:t xml:space="preserve">. All pregnant women residing in Rotterdam with a delivery date between April 2002 and January 2006 were invited to participate. The Medical Ethical Committee of Erasmus MC, University Medical </w:t>
      </w:r>
      <w:proofErr w:type="spellStart"/>
      <w:r w:rsidRPr="008D53A0">
        <w:t>Center</w:t>
      </w:r>
      <w:proofErr w:type="spellEnd"/>
      <w:r w:rsidRPr="008D53A0">
        <w:t xml:space="preserve"> Rotterdam, approved the study and an informed consent was obtained for all participants. In total, 9,778 mothers were enrolled in the study</w:t>
      </w:r>
      <w:r w:rsidR="008F6272">
        <w:t xml:space="preserve"> </w:t>
      </w:r>
      <w:r w:rsidR="008F6272">
        <w:fldChar w:fldCharType="begin" w:fldLock="1"/>
      </w:r>
      <w:r w:rsidR="002755CC">
        <w:instrText>ADDIN CSL_CITATION {"citationItems":[{"id":"ITEM-1","itemData":{"DOI":"10.1007/s10654-016-0224-9","ISSN":"1573-7284 (Electronic)","PMID":"28070760","abstract":"The Generation R Study is a population-based prospective cohort study from fetal life until adulthood. The study is designed to identify early environmental and genetic causes and causal pathways leading to normal and abnormal growth, development and health from fetal life, childhood and young adulthood. This multidisciplinary study focuses on several health outcomes including behaviour and cognition, body composition, eye development, growth, hearing, heart and vascular development, infectious disease and immunity, oral health and facial growth, respiratory health, allergy and skin disorders of children and their parents. Main exposures of interest include environmental, endocrine, genomic (genetic, epigenetic, microbiome), lifestyle related, nutritional and socio- demographic determinants. In total, 9778 mothers with a delivery date from April 2002 until January 2006 were enrolled in the study. Response at baseline was 61%, and general follow-up rates until the age of 10 years were around 80%. Data collection in children and their parents includes questionnaires, interviews, detailed physical and ultrasound examinations, behavioural observations, lung function, Magnetic Resonance Imaging and biological sampling. Genome and epigenome wide association screens are available. Eventually, results from the Generation R Study contribute to the development of strategies for optimizing health and healthcare for pregnant women and children.","author":[{"dropping-particle":"","family":"Kooijman","given":"Marjolein N","non-dropping-particle":"","parse-names":false,"suffix":""},{"dropping-particle":"","family":"Kruithof","given":"Claudia J","non-dropping-particle":"","parse-names":false,"suffix":""},{"dropping-particle":"","family":"Duijn","given":"Cornelia M","non-dropping-particle":"van","parse-names":false,"suffix":""},{"dropping-particle":"","family":"Duijts","given":"Liesbeth","non-dropping-particle":"","parse-names":false,"suffix":""},{"dropping-particle":"","family":"Franco","given":"Oscar H","non-dropping-particle":"","parse-names":false,"suffix":""},{"dropping-particle":"","family":"IJzendoorn","given":"Marinus H","non-dropping-particle":"van","parse-names":false,"suffix":""},{"dropping-particle":"","family":"Jongste","given":"Johan C","non-dropping-particle":"de","parse-names":false,"suffix":""},{"dropping-particle":"","family":"Klaver","given":"Caroline C W","non-dropping-particle":"","parse-names":false,"suffix":""},{"dropping-particle":"","family":"Lugt","given":"Aad","non-dropping-particle":"van der","parse-names":false,"suffix":""},{"dropping-particle":"","family":"Mackenbach","given":"Johan P","non-dropping-particle":"","parse-names":false,"suffix":""},{"dropping-particle":"","family":"Moll","given":"Henriette A","non-dropping-particle":"","parse-names":false,"suffix":""},{"dropping-particle":"","family":"Peeters","given":"Robin P","non-dropping-particle":"","parse-names":false,"suffix":""},{"dropping-particle":"","family":"Raat","given":"Hein","non-dropping-particle":"","parse-names":false,"suffix":""},{"dropping-particle":"","family":"Rings","given":"Edmond H H M","non-dropping-particle":"","parse-names":false,"suffix":""},{"dropping-particle":"","family":"Rivadeneira","given":"Fernando","non-dropping-particle":"","parse-names":false,"suffix":""},{"dropping-particle":"","family":"Schroeff","given":"Marc P","non-dropping-particle":"van der","parse-names":false,"suffix":""},{"dropping-particle":"","family":"Steegers","given":"Eric A P","non-dropping-particle":"","parse-names":false,"suffix":""},{"dropping-particle":"","family":"Tiemeier","given":"Henning","non-dropping-particle":"","parse-names":false,"suffix":""},{"dropping-particle":"","family":"Uitterlinden","given":"Andre G","non-dropping-particle":"","parse-names":false,"suffix":""},{"dropping-particle":"","family":"Verhulst","given":"Frank C","non-dropping-particle":"","parse-names":false,"suffix":""},{"dropping-particle":"","family":"Wolvius","given":"Eppo","non-dropping-particle":"","parse-names":false,"suffix":""},{"dropping-particle":"","family":"Felix","given":"Janine F","non-dropping-particle":"","parse-names":false,"suffix":""},{"dropping-particle":"V","family":"Jaddoe","given":"Vincent W","non-dropping-particle":"","parse-names":false,"suffix":""}],"container-title":"European journal of epidemiology","id":"ITEM-1","issue":"12","issued":{"date-parts":[["2016","12"]]},"language":"eng","page":"1243-1264","publisher-place":"Netherlands","title":"The Generation R Study: design and cohort update 2017.","type":"article-journal","volume":"31"},"uris":["http://www.mendeley.com/documents/?uuid=5d915af8-cacc-425b-90ef-aa5021dddc5a"]}],"mendeley":{"formattedCitation":"&lt;span style=\"baseline\"&gt;(19)&lt;/span&gt;","plainTextFormattedCitation":"(19)","previouslyFormattedCitation":"&lt;span style=\"baseline\"&gt;(18)&lt;/span&gt;"},"properties":{"noteIndex":0},"schema":"https://github.com/citation-style-language/schema/raw/master/csl-citation.json"}</w:instrText>
      </w:r>
      <w:r w:rsidR="008F6272">
        <w:fldChar w:fldCharType="separate"/>
      </w:r>
      <w:r w:rsidR="002755CC" w:rsidRPr="002755CC">
        <w:rPr>
          <w:noProof/>
        </w:rPr>
        <w:t>(19)</w:t>
      </w:r>
      <w:r w:rsidR="008F6272">
        <w:fldChar w:fldCharType="end"/>
      </w:r>
      <w:r w:rsidRPr="008D53A0">
        <w:t>.</w:t>
      </w:r>
    </w:p>
    <w:p w14:paraId="257C640E" w14:textId="613C80D0" w:rsidR="00CA7657" w:rsidRDefault="00CA7657" w:rsidP="00CA7657">
      <w:r>
        <w:t>Ha</w:t>
      </w:r>
      <w:r w:rsidRPr="00CA7657">
        <w:t>emoglobin concentrations were measured in venous blood at enrolment (mean 14.9 [</w:t>
      </w:r>
      <w:r>
        <w:t xml:space="preserve">SD </w:t>
      </w:r>
      <w:r w:rsidRPr="00CA7657">
        <w:t>3.9] weeks)</w:t>
      </w:r>
      <w:r>
        <w:t xml:space="preserve"> (</w:t>
      </w:r>
      <w:proofErr w:type="spellStart"/>
      <w:r w:rsidRPr="00CA7657">
        <w:t>Stichting</w:t>
      </w:r>
      <w:proofErr w:type="spellEnd"/>
      <w:r w:rsidRPr="00CA7657">
        <w:t xml:space="preserve"> </w:t>
      </w:r>
      <w:proofErr w:type="spellStart"/>
      <w:r w:rsidRPr="00CA7657">
        <w:t>Trombosedienst</w:t>
      </w:r>
      <w:proofErr w:type="spellEnd"/>
      <w:r w:rsidRPr="00CA7657">
        <w:t xml:space="preserve"> &amp; </w:t>
      </w:r>
      <w:proofErr w:type="spellStart"/>
      <w:r w:rsidRPr="00CA7657">
        <w:t>Artsenlaboratorium</w:t>
      </w:r>
      <w:proofErr w:type="spellEnd"/>
      <w:r w:rsidRPr="00CA7657">
        <w:t xml:space="preserve"> </w:t>
      </w:r>
      <w:proofErr w:type="spellStart"/>
      <w:r w:rsidRPr="00CA7657">
        <w:t>Rijnmond-Medisch</w:t>
      </w:r>
      <w:proofErr w:type="spellEnd"/>
      <w:r w:rsidRPr="00CA7657">
        <w:t xml:space="preserve"> </w:t>
      </w:r>
      <w:proofErr w:type="spellStart"/>
      <w:r w:rsidRPr="00CA7657">
        <w:t>Diagnostisch</w:t>
      </w:r>
      <w:proofErr w:type="spellEnd"/>
      <w:r w:rsidRPr="00CA7657">
        <w:t xml:space="preserve"> Centrum, Rotterdam, The Netherlands)</w:t>
      </w:r>
      <w:r w:rsidR="008F6272">
        <w:t xml:space="preserve"> </w:t>
      </w:r>
      <w:r w:rsidR="008F6272">
        <w:fldChar w:fldCharType="begin" w:fldLock="1"/>
      </w:r>
      <w:r w:rsidR="002755CC">
        <w:instrText>ADDIN CSL_CITATION {"citationItems":[{"id":"ITEM-1","itemData":{"DOI":"10.1007/s10654-012-9735-1","ISSN":"1573-7284 (Electronic)","PMID":"23086283","abstract":"The Generation R Study is a population-based prospective cohort study from fetal life until adulthood. The study is designed to identify early environmental and genetic causes and causal pathways leading to normal and abnormal growth, development and health during fetal life, childhood and adulthood. The study focuses on six areas of research: (1) maternal health; (2) growth and physical development; (3) behavioural and cognitive development; (4) respiratory health and allergies; (5) diseases in childhood; and (6) health and healthcare for children and their parents. Main exposures of interest include environmental, endocrine, genetic and epigenetic, lifestyle related, nutritional and socio- demographic determinants. In total, n = 9,778 mothers with a delivery date from April 2002 until January 2006 were enrolled in the study. Response at baseline was 61 %, and general follow-up rates until the age of 6 years exceed 80 %. Data collection in mothers, fathers and children include questionnaires, detailed physical and ultrasound examinations, behavioural observations, and biological samples. A genome and epigenome wide association screen is available in the participating children. From the age of 5 years, regular detailed hands-on assessments are performed in a dedicated research center including advanced imaging facilities such as Magnetic Resonance Imaging. Eventually, results forthcoming from the Generation R Study contribute to the development of strategies for optimizing health and healthcare for pregnant women and children.","author":[{"dropping-particle":"V","family":"Jaddoe","given":"Vincent W","non-dropping-particle":"","parse-names":false,"suffix":""},{"dropping-particle":"","family":"Duijn","given":"Cornelia M","non-dropping-particle":"van","parse-names":false,"suffix":""},{"dropping-particle":"","family":"Franco","given":"Oscar H","non-dropping-particle":"","parse-names":false,"suffix":""},{"dropping-particle":"","family":"Heijden","given":"Albert J","non-dropping-particle":"van der","parse-names":false,"suffix":""},{"dropping-particle":"","family":"Iizendoorn","given":"Marinus H","non-dropping-particle":"van","parse-names":false,"suffix":""},{"dropping-particle":"","family":"Jongste","given":"Johan C","non-dropping-particle":"de","parse-names":false,"suffix":""},{"dropping-particle":"","family":"Lugt","given":"Aad","non-dropping-particle":"van der","parse-names":false,"suffix":""},{"dropping-particle":"","family":"Mackenbach","given":"Johan P","non-dropping-particle":"","parse-names":false,"suffix":""},{"dropping-particle":"","family":"Moll","given":"Henriette A","non-dropping-particle":"","parse-names":false,"suffix":""},{"dropping-particle":"","family":"Raat","given":"Hein","non-dropping-particle":"","parse-names":false,"suffix":""},{"dropping-particle":"","family":"Rivadeneira","given":"Fernando","non-dropping-particle":"","parse-names":false,"suffix":""},{"dropping-particle":"","family":"Steegers","given":"Eric A P","non-dropping-particle":"","parse-names":false,"suffix":""},{"dropping-particle":"","family":"Tiemeier","given":"Henning","non-dropping-particle":"","parse-names":false,"suffix":""},{"dropping-particle":"","family":"Uitterlinden","given":"Andre G","non-dropping-particle":"","parse-names":false,"suffix":""},{"dropping-particle":"","family":"Verhulst","given":"Frank C","non-dropping-particle":"","parse-names":false,"suffix":""},{"dropping-particle":"","family":"Hofman","given":"Albert","non-dropping-particle":"","parse-names":false,"suffix":""}],"container-title":"European journal of epidemiology","id":"ITEM-1","issue":"9","issued":{"date-parts":[["2012","9"]]},"language":"eng","page":"739-756","publisher-place":"Netherlands","title":"The Generation R Study: design and cohort update 2012.","type":"article-journal","volume":"27"},"uris":["http://www.mendeley.com/documents/?uuid=1e14aa23-444d-4f79-819e-9aab676293e2"]}],"mendeley":{"formattedCitation":"&lt;span style=\"baseline\"&gt;(20)&lt;/span&gt;","plainTextFormattedCitation":"(20)","previouslyFormattedCitation":"&lt;span style=\"baseline\"&gt;(19)&lt;/span&gt;"},"properties":{"noteIndex":0},"schema":"https://github.com/citation-style-language/schema/raw/master/csl-citation.json"}</w:instrText>
      </w:r>
      <w:r w:rsidR="008F6272">
        <w:fldChar w:fldCharType="separate"/>
      </w:r>
      <w:r w:rsidR="002755CC" w:rsidRPr="002755CC">
        <w:rPr>
          <w:noProof/>
        </w:rPr>
        <w:t>(20)</w:t>
      </w:r>
      <w:r w:rsidR="008F6272">
        <w:fldChar w:fldCharType="end"/>
      </w:r>
      <w:r>
        <w:t>.</w:t>
      </w:r>
      <w:r w:rsidRPr="00CA7657">
        <w:t xml:space="preserve">  For the cord blood models one participant was excluded because of a </w:t>
      </w:r>
      <w:r>
        <w:t>ha</w:t>
      </w:r>
      <w:r w:rsidRPr="00CA7657">
        <w:t xml:space="preserve">emoglobin Z-score &gt; 5. </w:t>
      </w:r>
      <w:r>
        <w:t xml:space="preserve"> </w:t>
      </w:r>
      <w:r w:rsidRPr="00FF61E4">
        <w:t>Maternal haemoglobin was recorded in mmol/L.</w:t>
      </w:r>
    </w:p>
    <w:p w14:paraId="30172D73" w14:textId="4BF2FC86" w:rsidR="00503344" w:rsidRDefault="008C7454" w:rsidP="00CA7657">
      <w:r>
        <w:t>DNA extracted (using the salting-out method) from blood samples taken at birth (cord blood) and at the 5/6-year follow-up was used for this analysis. 500 ng DNA per sample underwent bisulphite conversion using the EZ-96 DNA Methylation kit (Shallow) (</w:t>
      </w:r>
      <w:proofErr w:type="spellStart"/>
      <w:r>
        <w:t>Zymo</w:t>
      </w:r>
      <w:proofErr w:type="spellEnd"/>
      <w:r>
        <w:t xml:space="preserve"> Research Corporation, Irvine, USA). Samples were plated onto 96-well plates in no specific order. Samples were processed with the Illumina Infinium HumanMethylation450 </w:t>
      </w:r>
      <w:proofErr w:type="spellStart"/>
      <w:r>
        <w:t>BeadChip</w:t>
      </w:r>
      <w:proofErr w:type="spellEnd"/>
      <w:r>
        <w:t xml:space="preserve"> (Illumina Inc., San Diego, USA), which analyses methylation at 485,577 CpG sites. Preparation and normalization of the HumanMethylation450 </w:t>
      </w:r>
      <w:proofErr w:type="spellStart"/>
      <w:r>
        <w:t>BeadChip</w:t>
      </w:r>
      <w:proofErr w:type="spellEnd"/>
      <w:r>
        <w:t xml:space="preserve"> array data was performed according to the CPACOR workflow</w:t>
      </w:r>
      <w:r w:rsidR="00CA7657">
        <w:t xml:space="preserve"> </w:t>
      </w:r>
      <w:r w:rsidR="008F6272">
        <w:fldChar w:fldCharType="begin" w:fldLock="1"/>
      </w:r>
      <w:r w:rsidR="002755CC">
        <w:instrText>ADDIN CSL_CITATION {"citationItems":[{"id":"ITEM-1","itemData":{"DOI":"10.1186/s13059-015-0600-x","ISSN":"1474-760X (Electronic)","PMID":"25853392","abstract":"DNA methylation plays a fundamental role in the regulation of the genome, but the optimal strategy for analysis of genome-wide DNA methylation data remains to be determined. We developed a comprehensive analysis pipeline for epigenome-wide association studies (EWAS) using the Illumina Infinium HumanMethylation450 BeadChip, based on 2,687 individuals, with 36 samples measured in duplicate. We propose new approaches to quality control, data normalisation and batch correction through control-probe adjustment and establish a null hypothesis for EWAS using permutation testing. Our analysis pipeline outperforms existing approaches, enabling accurate identification of methylation quantitative trait loci for hypothesis driven follow-up experiments.","author":[{"dropping-particle":"","family":"Lehne","given":"Benjamin","non-dropping-particle":"","parse-names":false,"suffix":""},{"dropping-particle":"","family":"Drong","given":"Alexander W","non-dropping-particle":"","parse-names":false,"suffix":""},{"dropping-particle":"","family":"Loh","given":"Marie","non-dropping-particle":"","parse-names":false,"suffix":""},{"dropping-particle":"","family":"Zhang","given":"Weihua","non-dropping-particle":"","parse-names":false,"suffix":""},{"dropping-particle":"","family":"Scott","given":"William R","non-dropping-particle":"","parse-names":false,"suffix":""},{"dropping-particle":"","family":"Tan","given":"Sian-Tsung","non-dropping-particle":"","parse-names":false,"suffix":""},{"dropping-particle":"","family":"Afzal","given":"Uzma","non-dropping-particle":"","parse-names":false,"suffix":""},{"dropping-particle":"","family":"Scott","given":"James","non-dropping-particle":"","parse-names":false,"suffix":""},{"dropping-particle":"","family":"Jarvelin","given":"Marjo-Riitta","non-dropping-particle":"","parse-names":false,"suffix":""},{"dropping-particle":"","family":"Elliott","given":"Paul","non-dropping-particle":"","parse-names":false,"suffix":""},{"dropping-particle":"","family":"McCarthy","given":"Mark I","non-dropping-particle":"","parse-names":false,"suffix":""},{"dropping-particle":"","family":"Kooner","given":"Jaspal S","non-dropping-particle":"","parse-names":false,"suffix":""},{"dropping-particle":"","family":"Chambers","given":"John C","non-dropping-particle":"","parse-names":false,"suffix":""}],"container-title":"Genome biology","id":"ITEM-1","issued":{"date-parts":[["2015","2"]]},"language":"eng","page":"37","publisher-place":"England","title":"A coherent approach for analysis of the Illumina HumanMethylation450 BeadChip improves data quality and performance in epigenome-wide association studies.","type":"article-journal","volume":"16"},"uris":["http://www.mendeley.com/documents/?uuid=1effd5e7-986f-4665-b94e-287b2a403209"]}],"mendeley":{"formattedCitation":"&lt;span style=\"baseline\"&gt;(21)&lt;/span&gt;","plainTextFormattedCitation":"(21)","previouslyFormattedCitation":"&lt;span style=\"baseline\"&gt;(20)&lt;/span&gt;"},"properties":{"noteIndex":0},"schema":"https://github.com/citation-style-language/schema/raw/master/csl-citation.json"}</w:instrText>
      </w:r>
      <w:r w:rsidR="008F6272">
        <w:fldChar w:fldCharType="separate"/>
      </w:r>
      <w:r w:rsidR="002755CC" w:rsidRPr="002755CC">
        <w:rPr>
          <w:noProof/>
        </w:rPr>
        <w:t>(21)</w:t>
      </w:r>
      <w:r w:rsidR="008F6272">
        <w:fldChar w:fldCharType="end"/>
      </w:r>
      <w:r>
        <w:t xml:space="preserve"> using the software package R</w:t>
      </w:r>
      <w:r w:rsidR="008F6272">
        <w:t xml:space="preserve"> </w:t>
      </w:r>
      <w:r w:rsidR="008F6272">
        <w:fldChar w:fldCharType="begin" w:fldLock="1"/>
      </w:r>
      <w:r w:rsidR="002755CC">
        <w:instrText>ADDIN CSL_CITATION {"citationItems":[{"id":"ITEM-1","itemData":{"author":[{"dropping-particle":"","family":"R Core Team","given":"","non-dropping-particle":"","parse-names":false,"suffix":""}],"id":"ITEM-1","issued":{"date-parts":[["2019"]]},"publisher-place":"Vienna, Austria","title":"R: A Language and Environment for Statistical Computing","type":"article"},"uris":["http://www.mendeley.com/documents/?uuid=762d3936-f0ff-48c1-9dba-a8d08b96211d"]}],"mendeley":{"formattedCitation":"&lt;span style=\"baseline\"&gt;(22)&lt;/span&gt;","plainTextFormattedCitation":"(22)","previouslyFormattedCitation":"&lt;span style=\"baseline\"&gt;(21)&lt;/span&gt;"},"properties":{"noteIndex":0},"schema":"https://github.com/citation-style-language/schema/raw/master/csl-citation.json"}</w:instrText>
      </w:r>
      <w:r w:rsidR="008F6272">
        <w:fldChar w:fldCharType="separate"/>
      </w:r>
      <w:r w:rsidR="002755CC" w:rsidRPr="002755CC">
        <w:rPr>
          <w:noProof/>
        </w:rPr>
        <w:t>(22)</w:t>
      </w:r>
      <w:r w:rsidR="008F6272">
        <w:fldChar w:fldCharType="end"/>
      </w:r>
      <w:r>
        <w:t xml:space="preserve">. In detail, the </w:t>
      </w:r>
      <w:proofErr w:type="spellStart"/>
      <w:r>
        <w:t>idat</w:t>
      </w:r>
      <w:proofErr w:type="spellEnd"/>
      <w:r>
        <w:t xml:space="preserve"> files were read using the </w:t>
      </w:r>
      <w:proofErr w:type="spellStart"/>
      <w:r w:rsidRPr="006D06D3">
        <w:rPr>
          <w:i/>
        </w:rPr>
        <w:t>minfi</w:t>
      </w:r>
      <w:proofErr w:type="spellEnd"/>
      <w:r>
        <w:t xml:space="preserve"> package. Probes that had a detection p-value above background (based on sum of methylated and unmethylated intensity values) ≥ 1E-16 were set to missing per array. Next, the intensity values were stratified by autosomal and non-autosomal probes and quantile normalized for each of the six probe type categories separately: type II red/green, type I methylated red/green and type I unmethylated red/green. Beta values were calculated as proportion of methylated intensity value on the sum of methylated+unmethylated+100 intensities. Arrays with observed technical problems such as failed bisulphite conversion, hybridization or extension, as well as arrays with a mismatch between sex of the proband and sex determined by the </w:t>
      </w:r>
      <w:proofErr w:type="spellStart"/>
      <w:r>
        <w:t>chr</w:t>
      </w:r>
      <w:proofErr w:type="spellEnd"/>
      <w:r>
        <w:t xml:space="preserve"> X and Y probe intensities were removed from subsequent analyses. </w:t>
      </w:r>
      <w:r>
        <w:lastRenderedPageBreak/>
        <w:t xml:space="preserve">Additionally, only arrays with a call rate &gt; 95% per sample were processed further. The final dataset contained information on 469,242 </w:t>
      </w:r>
      <w:proofErr w:type="spellStart"/>
      <w:r>
        <w:t>CpGs</w:t>
      </w:r>
      <w:proofErr w:type="spellEnd"/>
      <w:r>
        <w:t xml:space="preserve"> for 1396 samples at birth and 493 samples at age 5. Methylation beta values outside the 3IQR range = range of (25th percentile - 3*interquartile range, 75th percentile + 3*interquartile range) were set to missing. </w:t>
      </w:r>
    </w:p>
    <w:p w14:paraId="04376FBF" w14:textId="29BE6D77" w:rsidR="008C7454" w:rsidRDefault="008C7454" w:rsidP="00CA7657">
      <w:r>
        <w:t>Age of the mother at intake during pregnancy was recorded in years. Information on maternal smoking was collected using questionnaires in each trimester of pregnancy, the variable was recoded into 3 categories: no smoking, stopped early in pregnancy, continued smoking. Maternal education was defined by highest completed maternal education, collected using questionnaires during pregnancy. The variable was categorised in two groups: low and high education. Low education includes: no education, primary or secondary school completed. Higher education includes college or university completed.</w:t>
      </w:r>
      <w:r w:rsidR="00982C6A">
        <w:t xml:space="preserve"> I</w:t>
      </w:r>
      <w:r>
        <w:t xml:space="preserve">nformation on parity was obtained using questionnaires during pregnancy. The variable was recoded into </w:t>
      </w:r>
      <w:r w:rsidR="00982C6A">
        <w:t>two</w:t>
      </w:r>
      <w:r>
        <w:t xml:space="preserve"> categories:</w:t>
      </w:r>
      <w:r w:rsidR="00982C6A">
        <w:t xml:space="preserve"> </w:t>
      </w:r>
      <w:r>
        <w:t>0 and &gt;= 1.</w:t>
      </w:r>
      <w:r w:rsidR="00982C6A">
        <w:t xml:space="preserve"> </w:t>
      </w:r>
      <w:r>
        <w:t>Information on gestational age at birth was obtained from medical records. G</w:t>
      </w:r>
      <w:r w:rsidR="00982C6A">
        <w:t>estational age</w:t>
      </w:r>
      <w:r>
        <w:t xml:space="preserve"> was analysed in weeks. </w:t>
      </w:r>
      <w:r w:rsidR="00982C6A">
        <w:t>I</w:t>
      </w:r>
      <w:r>
        <w:t xml:space="preserve">nformation on gestational age at </w:t>
      </w:r>
      <w:proofErr w:type="spellStart"/>
      <w:r w:rsidR="00982C6A">
        <w:t>mHb</w:t>
      </w:r>
      <w:proofErr w:type="spellEnd"/>
      <w:r w:rsidR="00982C6A">
        <w:t xml:space="preserve"> </w:t>
      </w:r>
      <w:r>
        <w:t>measurement (weeks) was obtained from medical records. Child sex was obtained from midwife or hospital registries.</w:t>
      </w:r>
      <w:r w:rsidR="00982C6A">
        <w:t xml:space="preserve"> C</w:t>
      </w:r>
      <w:r>
        <w:t>hild age (years) at</w:t>
      </w:r>
      <w:r w:rsidR="00982C6A">
        <w:t xml:space="preserve"> </w:t>
      </w:r>
      <w:r>
        <w:t xml:space="preserve">methylation sample was calculated based on the date of birth, this is age at the </w:t>
      </w:r>
      <w:r w:rsidR="00982C6A">
        <w:t>5/6-year</w:t>
      </w:r>
      <w:r>
        <w:t xml:space="preserve"> follow-up visit.</w:t>
      </w:r>
      <w:r w:rsidR="00982C6A">
        <w:t xml:space="preserve"> </w:t>
      </w:r>
      <w:r>
        <w:t xml:space="preserve">Cell type correction </w:t>
      </w:r>
      <w:r w:rsidR="00982C6A">
        <w:t xml:space="preserve">in cord blood models </w:t>
      </w:r>
      <w:r>
        <w:t>was applied using the reference-based Houseman method</w:t>
      </w:r>
      <w:r w:rsidR="008F6272">
        <w:t xml:space="preserve"> </w:t>
      </w:r>
      <w:r w:rsidR="008F6272">
        <w:fldChar w:fldCharType="begin" w:fldLock="1"/>
      </w:r>
      <w:r w:rsidR="008F6272">
        <w:instrText>ADDIN CSL_CITATION {"citationItems":[{"id":"ITEM-1","itemData":{"DOI":"10.1186/1471-2105-13-86","ISSN":"1471-2105 (Electronic)","PMID":"22568884","abstract":"BACKGROUND: There has been a long-standing need in biomedical research for a method that quantifies the normally mixed composition of leukocytes beyond what is possible by simple histological or flow cytometric assessments. The latter is restricted by the labile nature of protein epitopes, requirements for cell processing, and timely cell analysis. In a diverse array of diseases and following numerous immune-toxic exposures, leukocyte composition will critically inform the underlying immuno-biology to most chronic medical conditions. Emerging research demonstrates that DNA methylation is responsible for cellular differentiation, and when measured in whole peripheral blood, serves to distinguish cancer cases from controls. RESULTS: Here we present a method, similar to regression calibration, for inferring changes in the distribution of white blood cells between different subpopulations (e.g. cases and controls) using DNA methylation signatures, in combination with a previously obtained external validation set consisting of signatures from purified leukocyte samples. We validate the fundamental idea in a cell mixture reconstruction experiment, then demonstrate our method on DNA methylation data sets from several studies, including data from a Head and Neck Squamous Cell Carcinoma (HNSCC) study and an ovarian cancer study. Our method produces results consistent with prior biological findings, thereby validating the approach. CONCLUSIONS: Our method, in combination with an appropriate external validation set, promises new opportunities for large-scale immunological studies of both disease states and noxious exposures.","author":[{"dropping-particle":"","family":"Houseman","given":"Eugene Andres","non-dropping-particle":"","parse-names":false,"suffix":""},{"dropping-particle":"","family":"Accomando","given":"William P","non-dropping-particle":"","parse-names":false,"suffix":""},{"dropping-particle":"","family":"Koestler","given":"Devin C","non-dropping-particle":"","parse-names":false,"suffix":""},{"dropping-particle":"","family":"Christensen","given":"Brock C","non-dropping-particle":"","parse-names":false,"suffix":""},{"dropping-particle":"","family":"Marsit","given":"Carmen J","non-dropping-particle":"","parse-names":false,"suffix":""},{"dropping-particle":"","family":"Nelson","given":"Heather H","non-dropping-particle":"","parse-names":false,"suffix":""},{"dropping-particle":"","family":"Wiencke","given":"John K","non-dropping-particle":"","parse-names":false,"suffix":""},{"dropping-particle":"","family":"Kelsey","given":"Karl T","non-dropping-particle":"","parse-names":false,"suffix":""}],"container-title":"BMC bioinformatics","id":"ITEM-1","issued":{"date-parts":[["2012","5"]]},"language":"eng","page":"86","publisher-place":"England","title":"DNA methylation arrays as surrogate measures of cell mixture distribution.","type":"article-journal","volume":"13"},"uris":["http://www.mendeley.com/documents/?uuid=a5f6c561-68a0-43ec-96fd-9ade37c06c37"]}],"mendeley":{"formattedCitation":"&lt;span style=\"baseline\"&gt;(10)&lt;/span&gt;","plainTextFormattedCitation":"(10)","previouslyFormattedCitation":"&lt;span style=\"baseline\"&gt;(10)&lt;/span&gt;"},"properties":{"noteIndex":0},"schema":"https://github.com/citation-style-language/schema/raw/master/csl-citation.json"}</w:instrText>
      </w:r>
      <w:r w:rsidR="008F6272">
        <w:fldChar w:fldCharType="separate"/>
      </w:r>
      <w:r w:rsidR="008F6272" w:rsidRPr="008F6272">
        <w:rPr>
          <w:noProof/>
        </w:rPr>
        <w:t>(10)</w:t>
      </w:r>
      <w:r w:rsidR="008F6272">
        <w:fldChar w:fldCharType="end"/>
      </w:r>
      <w:r>
        <w:t xml:space="preserve"> in the </w:t>
      </w:r>
      <w:proofErr w:type="spellStart"/>
      <w:r w:rsidRPr="006D06D3">
        <w:rPr>
          <w:i/>
        </w:rPr>
        <w:t>minfi</w:t>
      </w:r>
      <w:proofErr w:type="spellEnd"/>
      <w:r>
        <w:t xml:space="preserve"> package</w:t>
      </w:r>
      <w:r w:rsidR="00982C6A">
        <w:t xml:space="preserve"> </w:t>
      </w:r>
      <w:r w:rsidR="008F6272">
        <w:fldChar w:fldCharType="begin" w:fldLock="1"/>
      </w:r>
      <w:r w:rsidR="008F6272">
        <w:instrText>ADDIN CSL_CITATION {"citationItems":[{"id":"ITEM-1","itemData":{"DOI":"10.1093/bioinformatics/btu049","ISSN":"1367-4811 (Electronic)","PMID":"24478339","abstract":"MOTIVATION: The recently released Infinium HumanMethylation450 array (the '450k' array) provides a high-throughput assay to quantify DNA methylation (DNAm) at approximately 450 000 loci across a range of genomic features. Although less comprehensive than high-throughput sequencing-based techniques, this product is more cost-effective and promises to be the most widely used DNAm high-throughput measurement technology over the next several years. RESULTS: Here we describe a suite of computational tools that incorporate state-of-the-art statistical techniques for the analysis of DNAm data. The software is structured to easily adapt to future versions of the technology. We include methods for preprocessing, quality assessment and detection of differentially methylated regions from the kilobase to the megabase scale. We show how our software provides a powerful and flexible development platform for future methods. We also illustrate how our methods empower the technology to make discoveries previously thought to be possible only with sequencing-based methods. AVAILABILITY AND IMPLEMENTATION: http://bioconductor.org/packages/release/bioc/html/minfi.html. CONTACT: khansen@jhsph.edu; rafa@jimmy.harvard.edu SUPPLEMENTARY INFORMATION: Supplementary data are available at Bioinformatics online.","author":[{"dropping-particle":"","family":"Aryee","given":"Martin J","non-dropping-particle":"","parse-names":false,"suffix":""},{"dropping-particle":"","family":"Jaffe","given":"Andrew E","non-dropping-particle":"","parse-names":false,"suffix":""},{"dropping-particle":"","family":"Corrada-Bravo","given":"Hector","non-dropping-particle":"","parse-names":false,"suffix":""},{"dropping-particle":"","family":"Ladd-Acosta","given":"Christine","non-dropping-particle":"","parse-names":false,"suffix":""},{"dropping-particle":"","family":"Feinberg","given":"Andrew P","non-dropping-particle":"","parse-names":false,"suffix":""},{"dropping-particle":"","family":"Hansen","given":"Kasper D","non-dropping-particle":"","parse-names":false,"suffix":""},{"dropping-particle":"","family":"Irizarry","given":"Rafael A","non-dropping-particle":"","parse-names":false,"suffix":""}],"container-title":"Bioinformatics (Oxford, England)","id":"ITEM-1","issue":"10","issued":{"date-parts":[["2014","5"]]},"language":"eng","page":"1363-1369","publisher-place":"England","title":"Minfi: a flexible and comprehensive Bioconductor package for the analysis of Infinium DNA methylation microarrays.","type":"article-journal","volume":"30"},"uris":["http://www.mendeley.com/documents/?uuid=feec687b-7c51-4a7c-b578-fe16b28703f8"]}],"mendeley":{"formattedCitation":"&lt;span style=\"baseline\"&gt;(7)&lt;/span&gt;","plainTextFormattedCitation":"(7)","previouslyFormattedCitation":"&lt;span style=\"baseline\"&gt;(7)&lt;/span&gt;"},"properties":{"noteIndex":0},"schema":"https://github.com/citation-style-language/schema/raw/master/csl-citation.json"}</w:instrText>
      </w:r>
      <w:r w:rsidR="008F6272">
        <w:fldChar w:fldCharType="separate"/>
      </w:r>
      <w:r w:rsidR="008F6272" w:rsidRPr="008F6272">
        <w:rPr>
          <w:noProof/>
        </w:rPr>
        <w:t>(7)</w:t>
      </w:r>
      <w:r w:rsidR="008F6272">
        <w:fldChar w:fldCharType="end"/>
      </w:r>
      <w:r>
        <w:t xml:space="preserve"> in R</w:t>
      </w:r>
      <w:r w:rsidR="008F6272">
        <w:t xml:space="preserve"> </w:t>
      </w:r>
      <w:r w:rsidR="008F6272">
        <w:fldChar w:fldCharType="begin" w:fldLock="1"/>
      </w:r>
      <w:r w:rsidR="002755CC">
        <w:instrText>ADDIN CSL_CITATION {"citationItems":[{"id":"ITEM-1","itemData":{"author":[{"dropping-particle":"","family":"R Core Team","given":"","non-dropping-particle":"","parse-names":false,"suffix":""}],"id":"ITEM-1","issued":{"date-parts":[["2019"]]},"publisher-place":"Vienna, Austria","title":"R: A Language and Environment for Statistical Computing","type":"article"},"uris":["http://www.mendeley.com/documents/?uuid=762d3936-f0ff-48c1-9dba-a8d08b96211d"]}],"mendeley":{"formattedCitation":"&lt;span style=\"baseline\"&gt;(22)&lt;/span&gt;","plainTextFormattedCitation":"(22)","previouslyFormattedCitation":"&lt;span style=\"baseline\"&gt;(21)&lt;/span&gt;"},"properties":{"noteIndex":0},"schema":"https://github.com/citation-style-language/schema/raw/master/csl-citation.json"}</w:instrText>
      </w:r>
      <w:r w:rsidR="008F6272">
        <w:fldChar w:fldCharType="separate"/>
      </w:r>
      <w:r w:rsidR="002755CC" w:rsidRPr="002755CC">
        <w:rPr>
          <w:noProof/>
        </w:rPr>
        <w:t>(22)</w:t>
      </w:r>
      <w:r w:rsidR="008F6272">
        <w:fldChar w:fldCharType="end"/>
      </w:r>
      <w:r>
        <w:t>. This method estimates the relative proportions of seven white blood cell subtypes (CD4+ T-lymphocytes, CD8+ T-lymphocytes, NK (natural killer) cells, B-lymphocytes, monocytes, granulocytes and nucleated red blood cells), based on a standard reference of cord blood samples</w:t>
      </w:r>
      <w:r w:rsidR="008F6272">
        <w:t xml:space="preserve"> </w:t>
      </w:r>
      <w:r w:rsidR="008F6272">
        <w:fldChar w:fldCharType="begin" w:fldLock="1"/>
      </w:r>
      <w:r w:rsidR="002755CC">
        <w:instrText>ADDIN CSL_CITATION {"citationItems":[{"id":"ITEM-1","itemData":{"DOI":"10.1080/15592294.2016.1161875","ISSN":"1559-2308 (Electronic)","PMID":"27019159","abstract":"Epigenome-wide association studies of disease widely use DNA methylation measured in blood as a surrogate tissue. Cell proportions can vary between people and confound associations of exposure or outcome. An adequate reference panel for estimating cell proportions from adult whole blood for DNA methylation studies is available, but an analogous cord blood cell reference panel is not yet available. Cord blood has unique cell types and the epigenetic signatures of standard cell types may not be consistent throughout the life course. Using magnetic bead sorting, we isolated cord blood cell types (nucleated red blood cells, granulocytes, monocytes, natural killer cells, B cells, CD4(+)T cells, and CD8(+)T cells) from 17 live births at Johns Hopkins Hospital. We confirmed enrichment of the cell types using fluorescence assisted cell sorting and ran DNA from the separated cell types on the Illumina Infinium HumanMethylation450 BeadChip array. After filtering, the final analysis was on 104 samples at 429,794 probes. We compared cell type specific signatures in cord to each other and methylation at 49.2% of CpG sites on the array differed by cell type (F-test P &lt; 10(-8)). Differences between nucleated red blood cells and the remainder of the cell types were most pronounced (36.9% of CpG sites at P &lt; 10(-8)) and 99.5% of these sites were hypomethylated relative to the other cell types. We also compared the mean-centered sorted cord profiles to the available adult reference panel and observed high correlation between the overlapping cell types for granulocytes and monocytes (both r=0.74), and poor correlation for CD8(+)T cells and NK cells (both r=0.08). We further provide an algorithm for estimating cell proportions in cord blood using the newly developed cord reference panel, which estimates biologically plausible cell proportions in whole cord blood samples.","author":[{"dropping-particle":"","family":"Bakulski","given":"Kelly M","non-dropping-particle":"","parse-names":false,"suffix":""},{"dropping-particle":"","family":"Feinberg","given":"Jason I","non-dropping-particle":"","parse-names":false,"suffix":""},{"dropping-particle":"V","family":"Andrews","given":"Shan","non-dropping-particle":"","parse-names":false,"suffix":""},{"dropping-particle":"","family":"Yang","given":"Jack","non-dropping-particle":"","parse-names":false,"suffix":""},{"dropping-particle":"","family":"Brown","given":"Shannon","non-dropping-particle":"","parse-names":false,"suffix":""},{"dropping-particle":"","family":"L McKenney","given":"Stephanie","non-dropping-particle":"","parse-names":false,"suffix":""},{"dropping-particle":"","family":"Witter","given":"Frank","non-dropping-particle":"","parse-names":false,"suffix":""},{"dropping-particle":"","family":"Walston","given":"Jeremy","non-dropping-particle":"","parse-names":false,"suffix":""},{"dropping-particle":"","family":"Feinberg","given":"Andrew P","non-dropping-particle":"","parse-names":false,"suffix":""},{"dropping-particle":"","family":"Fallin","given":"M Daniele","non-dropping-particle":"","parse-names":false,"suffix":""}],"container-title":"Epigenetics","id":"ITEM-1","issue":"5","issued":{"date-parts":[["2016","5"]]},"language":"eng","page":"354-362","publisher-place":"United States","title":"DNA methylation of cord blood cell types: Applications for mixed cell birth studies.","type":"article-journal","volume":"11"},"uris":["http://www.mendeley.com/documents/?uuid=b30571e3-1ba2-4869-97e5-53209b62f0b4"]}],"mendeley":{"formattedCitation":"&lt;span style=\"baseline\"&gt;(23)&lt;/span&gt;","plainTextFormattedCitation":"(23)","previouslyFormattedCitation":"&lt;span style=\"baseline\"&gt;(22)&lt;/span&gt;"},"properties":{"noteIndex":0},"schema":"https://github.com/citation-style-language/schema/raw/master/csl-citation.json"}</w:instrText>
      </w:r>
      <w:r w:rsidR="008F6272">
        <w:fldChar w:fldCharType="separate"/>
      </w:r>
      <w:r w:rsidR="002755CC" w:rsidRPr="002755CC">
        <w:rPr>
          <w:noProof/>
        </w:rPr>
        <w:t>(23)</w:t>
      </w:r>
      <w:r w:rsidR="008F6272">
        <w:fldChar w:fldCharType="end"/>
      </w:r>
      <w:r>
        <w:t>.</w:t>
      </w:r>
      <w:r w:rsidR="00982C6A">
        <w:t xml:space="preserve"> </w:t>
      </w:r>
      <w:r>
        <w:t>Cell type correction</w:t>
      </w:r>
      <w:r w:rsidR="00982C6A">
        <w:t xml:space="preserve"> in childhood models</w:t>
      </w:r>
      <w:r>
        <w:t xml:space="preserve"> was applied using the reference-based </w:t>
      </w:r>
      <w:r w:rsidR="00982C6A">
        <w:t xml:space="preserve">Houseman method </w:t>
      </w:r>
      <w:r w:rsidR="008F6272">
        <w:fldChar w:fldCharType="begin" w:fldLock="1"/>
      </w:r>
      <w:r w:rsidR="008F6272">
        <w:instrText>ADDIN CSL_CITATION {"citationItems":[{"id":"ITEM-1","itemData":{"DOI":"10.1186/1471-2105-13-86","ISSN":"1471-2105 (Electronic)","PMID":"22568884","abstract":"BACKGROUND: There has been a long-standing need in biomedical research for a method that quantifies the normally mixed composition of leukocytes beyond what is possible by simple histological or flow cytometric assessments. The latter is restricted by the labile nature of protein epitopes, requirements for cell processing, and timely cell analysis. In a diverse array of diseases and following numerous immune-toxic exposures, leukocyte composition will critically inform the underlying immuno-biology to most chronic medical conditions. Emerging research demonstrates that DNA methylation is responsible for cellular differentiation, and when measured in whole peripheral blood, serves to distinguish cancer cases from controls. RESULTS: Here we present a method, similar to regression calibration, for inferring changes in the distribution of white blood cells between different subpopulations (e.g. cases and controls) using DNA methylation signatures, in combination with a previously obtained external validation set consisting of signatures from purified leukocyte samples. We validate the fundamental idea in a cell mixture reconstruction experiment, then demonstrate our method on DNA methylation data sets from several studies, including data from a Head and Neck Squamous Cell Carcinoma (HNSCC) study and an ovarian cancer study. Our method produces results consistent with prior biological findings, thereby validating the approach. CONCLUSIONS: Our method, in combination with an appropriate external validation set, promises new opportunities for large-scale immunological studies of both disease states and noxious exposures.","author":[{"dropping-particle":"","family":"Houseman","given":"Eugene Andres","non-dropping-particle":"","parse-names":false,"suffix":""},{"dropping-particle":"","family":"Accomando","given":"William P","non-dropping-particle":"","parse-names":false,"suffix":""},{"dropping-particle":"","family":"Koestler","given":"Devin C","non-dropping-particle":"","parse-names":false,"suffix":""},{"dropping-particle":"","family":"Christensen","given":"Brock C","non-dropping-particle":"","parse-names":false,"suffix":""},{"dropping-particle":"","family":"Marsit","given":"Carmen J","non-dropping-particle":"","parse-names":false,"suffix":""},{"dropping-particle":"","family":"Nelson","given":"Heather H","non-dropping-particle":"","parse-names":false,"suffix":""},{"dropping-particle":"","family":"Wiencke","given":"John K","non-dropping-particle":"","parse-names":false,"suffix":""},{"dropping-particle":"","family":"Kelsey","given":"Karl T","non-dropping-particle":"","parse-names":false,"suffix":""}],"container-title":"BMC bioinformatics","id":"ITEM-1","issued":{"date-parts":[["2012","5"]]},"language":"eng","page":"86","publisher-place":"England","title":"DNA methylation arrays as surrogate measures of cell mixture distribution.","type":"article-journal","volume":"13"},"uris":["http://www.mendeley.com/documents/?uuid=a5f6c561-68a0-43ec-96fd-9ade37c06c37"]}],"mendeley":{"formattedCitation":"&lt;span style=\"baseline\"&gt;(10)&lt;/span&gt;","plainTextFormattedCitation":"(10)","previouslyFormattedCitation":"&lt;span style=\"baseline\"&gt;(10)&lt;/span&gt;"},"properties":{"noteIndex":0},"schema":"https://github.com/citation-style-language/schema/raw/master/csl-citation.json"}</w:instrText>
      </w:r>
      <w:r w:rsidR="008F6272">
        <w:fldChar w:fldCharType="separate"/>
      </w:r>
      <w:r w:rsidR="008F6272" w:rsidRPr="008F6272">
        <w:rPr>
          <w:noProof/>
        </w:rPr>
        <w:t>(10)</w:t>
      </w:r>
      <w:r w:rsidR="008F6272">
        <w:fldChar w:fldCharType="end"/>
      </w:r>
      <w:r w:rsidR="00982C6A">
        <w:t xml:space="preserve"> </w:t>
      </w:r>
      <w:r>
        <w:t xml:space="preserve">in the </w:t>
      </w:r>
      <w:proofErr w:type="spellStart"/>
      <w:r w:rsidR="00982C6A" w:rsidRPr="006D06D3">
        <w:rPr>
          <w:i/>
        </w:rPr>
        <w:t>minfi</w:t>
      </w:r>
      <w:proofErr w:type="spellEnd"/>
      <w:r w:rsidR="00982C6A">
        <w:t xml:space="preserve"> package</w:t>
      </w:r>
      <w:r w:rsidR="008F6272">
        <w:t xml:space="preserve"> </w:t>
      </w:r>
      <w:r w:rsidR="008F6272">
        <w:fldChar w:fldCharType="begin" w:fldLock="1"/>
      </w:r>
      <w:r w:rsidR="008F6272">
        <w:instrText>ADDIN CSL_CITATION {"citationItems":[{"id":"ITEM-1","itemData":{"DOI":"10.1093/bioinformatics/btu049","ISSN":"1367-4811 (Electronic)","PMID":"24478339","abstract":"MOTIVATION: The recently released Infinium HumanMethylation450 array (the '450k' array) provides a high-throughput assay to quantify DNA methylation (DNAm) at approximately 450 000 loci across a range of genomic features. Although less comprehensive than high-throughput sequencing-based techniques, this product is more cost-effective and promises to be the most widely used DNAm high-throughput measurement technology over the next several years. RESULTS: Here we describe a suite of computational tools that incorporate state-of-the-art statistical techniques for the analysis of DNAm data. The software is structured to easily adapt to future versions of the technology. We include methods for preprocessing, quality assessment and detection of differentially methylated regions from the kilobase to the megabase scale. We show how our software provides a powerful and flexible development platform for future methods. We also illustrate how our methods empower the technology to make discoveries previously thought to be possible only with sequencing-based methods. AVAILABILITY AND IMPLEMENTATION: http://bioconductor.org/packages/release/bioc/html/minfi.html. CONTACT: khansen@jhsph.edu; rafa@jimmy.harvard.edu SUPPLEMENTARY INFORMATION: Supplementary data are available at Bioinformatics online.","author":[{"dropping-particle":"","family":"Aryee","given":"Martin J","non-dropping-particle":"","parse-names":false,"suffix":""},{"dropping-particle":"","family":"Jaffe","given":"Andrew E","non-dropping-particle":"","parse-names":false,"suffix":""},{"dropping-particle":"","family":"Corrada-Bravo","given":"Hector","non-dropping-particle":"","parse-names":false,"suffix":""},{"dropping-particle":"","family":"Ladd-Acosta","given":"Christine","non-dropping-particle":"","parse-names":false,"suffix":""},{"dropping-particle":"","family":"Feinberg","given":"Andrew P","non-dropping-particle":"","parse-names":false,"suffix":""},{"dropping-particle":"","family":"Hansen","given":"Kasper D","non-dropping-particle":"","parse-names":false,"suffix":""},{"dropping-particle":"","family":"Irizarry","given":"Rafael A","non-dropping-particle":"","parse-names":false,"suffix":""}],"container-title":"Bioinformatics (Oxford, England)","id":"ITEM-1","issue":"10","issued":{"date-parts":[["2014","5"]]},"language":"eng","page":"1363-1369","publisher-place":"England","title":"Minfi: a flexible and comprehensive Bioconductor package for the analysis of Infinium DNA methylation microarrays.","type":"article-journal","volume":"30"},"uris":["http://www.mendeley.com/documents/?uuid=feec687b-7c51-4a7c-b578-fe16b28703f8"]}],"mendeley":{"formattedCitation":"&lt;span style=\"baseline\"&gt;(7)&lt;/span&gt;","plainTextFormattedCitation":"(7)","previouslyFormattedCitation":"&lt;span style=\"baseline\"&gt;(7)&lt;/span&gt;"},"properties":{"noteIndex":0},"schema":"https://github.com/citation-style-language/schema/raw/master/csl-citation.json"}</w:instrText>
      </w:r>
      <w:r w:rsidR="008F6272">
        <w:fldChar w:fldCharType="separate"/>
      </w:r>
      <w:r w:rsidR="008F6272" w:rsidRPr="008F6272">
        <w:rPr>
          <w:noProof/>
        </w:rPr>
        <w:t>(7)</w:t>
      </w:r>
      <w:r w:rsidR="008F6272">
        <w:fldChar w:fldCharType="end"/>
      </w:r>
      <w:r w:rsidR="00982C6A">
        <w:t xml:space="preserve"> in R</w:t>
      </w:r>
      <w:r w:rsidR="008F6272">
        <w:t xml:space="preserve"> </w:t>
      </w:r>
      <w:r w:rsidR="008F6272">
        <w:fldChar w:fldCharType="begin" w:fldLock="1"/>
      </w:r>
      <w:r w:rsidR="002755CC">
        <w:instrText>ADDIN CSL_CITATION {"citationItems":[{"id":"ITEM-1","itemData":{"author":[{"dropping-particle":"","family":"R Core Team","given":"","non-dropping-particle":"","parse-names":false,"suffix":""}],"id":"ITEM-1","issued":{"date-parts":[["2019"]]},"publisher-place":"Vienna, Austria","title":"R: A Language and Environment for Statistical Computing","type":"article"},"uris":["http://www.mendeley.com/documents/?uuid=762d3936-f0ff-48c1-9dba-a8d08b96211d"]}],"mendeley":{"formattedCitation":"&lt;span style=\"baseline\"&gt;(22)&lt;/span&gt;","plainTextFormattedCitation":"(22)","previouslyFormattedCitation":"&lt;span style=\"baseline\"&gt;(21)&lt;/span&gt;"},"properties":{"noteIndex":0},"schema":"https://github.com/citation-style-language/schema/raw/master/csl-citation.json"}</w:instrText>
      </w:r>
      <w:r w:rsidR="008F6272">
        <w:fldChar w:fldCharType="separate"/>
      </w:r>
      <w:r w:rsidR="002755CC" w:rsidRPr="002755CC">
        <w:rPr>
          <w:noProof/>
        </w:rPr>
        <w:t>(22)</w:t>
      </w:r>
      <w:r w:rsidR="008F6272">
        <w:fldChar w:fldCharType="end"/>
      </w:r>
      <w:r>
        <w:t>. This method estimates the relative proportions of six white blood cell subtypes (CD4+ T-lymphocytes, CD8+ T-lymphocytes, NK cells, B-lymphocytes, monocytes and granulocytes), based on a standard reference population</w:t>
      </w:r>
      <w:r w:rsidR="008F6272">
        <w:t xml:space="preserve"> </w:t>
      </w:r>
      <w:r w:rsidR="008F6272">
        <w:fldChar w:fldCharType="begin" w:fldLock="1"/>
      </w:r>
      <w:r w:rsidR="002755CC">
        <w:instrText>ADDIN CSL_CITATION {"citationItems":[{"id":"ITEM-1","itemData":{"DOI":"10.1371/journal.pone.0041361","ISSN":"1932-6203 (Electronic)","PMID":"22848472","abstract":"Methylation of cytosines at CpG sites is a common epigenetic DNA modification that can be measured by a large number of methods, now even in a genome-wide manner for hundreds of thousands of sites. The application of DNA methylation analysis is becoming widely popular in complex disorders, for example, to understand part of the \"missing heritability\". The DNA samples most readily available for methylation studies are derived from whole blood. However, blood consists of many functionally and developmentally distinct cell populations in varying proportions. We studied whether such variation might affect the interpretation of methylation studies based on whole blood DNA. We found in healthy male blood donors there is important variation in the methylation profiles of whole blood, mononuclear cells, granulocytes, and cells from seven selected purified lineages. CpG methylation between mononuclear cells and granulocytes differed for 22% of the 8252 probes covering the selected 343 genes implicated in immune-related disorders by genome-wide association studies, and at least one probe was differentially methylated for 85% of the genes, indicating that whole blood methylation results might be unintelligible. For individual genes, even if the overall methylation patterns might appear similar, a few CpG sites in the regulatory regions may have opposite methylation patterns (i.e., hypo/hyper) in the main blood cell types. We conclude that interpretation of whole blood methylation profiles should be performed with great caution and for any differences implicated in a disorder, the differences resulting from varying proportions of white blood cell types should be considered.","author":[{"dropping-particle":"","family":"Reinius","given":"Lovisa E","non-dropping-particle":"","parse-names":false,"suffix":""},{"dropping-particle":"","family":"Acevedo","given":"Nathalie","non-dropping-particle":"","parse-names":false,"suffix":""},{"dropping-particle":"","family":"Joerink","given":"Maaike","non-dropping-particle":"","parse-names":false,"suffix":""},{"dropping-particle":"","family":"Pershagen","given":"Goran","non-dropping-particle":"","parse-names":false,"suffix":""},{"dropping-particle":"","family":"Dahlen","given":"Sven-Erik","non-dropping-particle":"","parse-names":false,"suffix":""},{"dropping-particle":"","family":"Greco","given":"Dario","non-dropping-particle":"","parse-names":false,"suffix":""},{"dropping-particle":"","family":"Soderhall","given":"Cilla","non-dropping-particle":"","parse-names":false,"suffix":""},{"dropping-particle":"","family":"Scheynius","given":"Annika","non-dropping-particle":"","parse-names":false,"suffix":""},{"dropping-particle":"","family":"Kere","given":"Juha","non-dropping-particle":"","parse-names":false,"suffix":""}],"container-title":"PloS one","id":"ITEM-1","issue":"7","issued":{"date-parts":[["2012"]]},"language":"eng","page":"e41361","publisher-place":"United States","title":"Differential DNA methylation in purified human blood cells: implications for cell lineage and studies on disease susceptibility.","type":"article-journal","volume":"7"},"uris":["http://www.mendeley.com/documents/?uuid=74ed0a4b-94a6-481c-a04f-5e3b343041f4"]}],"mendeley":{"formattedCitation":"&lt;span style=\"baseline\"&gt;(24)&lt;/span&gt;","plainTextFormattedCitation":"(24)","previouslyFormattedCitation":"&lt;span style=\"baseline\"&gt;(23)&lt;/span&gt;"},"properties":{"noteIndex":0},"schema":"https://github.com/citation-style-language/schema/raw/master/csl-citation.json"}</w:instrText>
      </w:r>
      <w:r w:rsidR="008F6272">
        <w:fldChar w:fldCharType="separate"/>
      </w:r>
      <w:r w:rsidR="002755CC" w:rsidRPr="002755CC">
        <w:rPr>
          <w:noProof/>
        </w:rPr>
        <w:t>(24)</w:t>
      </w:r>
      <w:r w:rsidR="008F6272">
        <w:fldChar w:fldCharType="end"/>
      </w:r>
      <w:r>
        <w:t>.</w:t>
      </w:r>
      <w:r w:rsidR="00982C6A">
        <w:t xml:space="preserve"> </w:t>
      </w:r>
      <w:r>
        <w:t>We used plate number to correct for batch effects.</w:t>
      </w:r>
    </w:p>
    <w:p w14:paraId="08DA15E5" w14:textId="2B3409CE" w:rsidR="00D62F12" w:rsidRDefault="00D62F12" w:rsidP="00D62F12">
      <w:pPr>
        <w:pStyle w:val="Heading2"/>
      </w:pPr>
      <w:r w:rsidRPr="00D62F12">
        <w:t>Acknowledgements</w:t>
      </w:r>
      <w:bookmarkStart w:id="4" w:name="_Hlk26383882"/>
    </w:p>
    <w:p w14:paraId="4EB4223C" w14:textId="74021E2D" w:rsidR="00D62F12" w:rsidRDefault="00D62F12" w:rsidP="00D62F12">
      <w:r w:rsidRPr="00064E7C">
        <w:rPr>
          <w:rFonts w:ascii="Calibri" w:hAnsi="Calibri" w:cs="Arial"/>
        </w:rPr>
        <w:t xml:space="preserve">The Generation R Study is conducted by Erasmus MC in close collaboration with the School of Law and Faculty of Social Sciences of the Erasmus University Rotterdam, the Municipal Health Service Rotterdam </w:t>
      </w:r>
      <w:r w:rsidRPr="00064E7C">
        <w:rPr>
          <w:rFonts w:ascii="Calibri" w:hAnsi="Calibri" w:cs="Arial"/>
        </w:rPr>
        <w:lastRenderedPageBreak/>
        <w:t xml:space="preserve">area, Rotterdam, the Rotterdam Homecare Foundation, Rotterdam and the </w:t>
      </w:r>
      <w:proofErr w:type="spellStart"/>
      <w:r w:rsidRPr="00064E7C">
        <w:rPr>
          <w:rFonts w:ascii="Calibri" w:hAnsi="Calibri" w:cs="Arial"/>
        </w:rPr>
        <w:t>Stichting</w:t>
      </w:r>
      <w:proofErr w:type="spellEnd"/>
      <w:r w:rsidRPr="00064E7C">
        <w:rPr>
          <w:rFonts w:ascii="Calibri" w:hAnsi="Calibri" w:cs="Arial"/>
        </w:rPr>
        <w:t xml:space="preserve"> </w:t>
      </w:r>
      <w:proofErr w:type="spellStart"/>
      <w:r w:rsidRPr="00064E7C">
        <w:rPr>
          <w:rFonts w:ascii="Calibri" w:hAnsi="Calibri" w:cs="Arial"/>
        </w:rPr>
        <w:t>Trombosedienst</w:t>
      </w:r>
      <w:proofErr w:type="spellEnd"/>
      <w:r w:rsidRPr="00064E7C">
        <w:rPr>
          <w:rFonts w:ascii="Calibri" w:hAnsi="Calibri" w:cs="Arial"/>
        </w:rPr>
        <w:t xml:space="preserve"> &amp; </w:t>
      </w:r>
      <w:proofErr w:type="spellStart"/>
      <w:r w:rsidRPr="00064E7C">
        <w:rPr>
          <w:rFonts w:ascii="Calibri" w:hAnsi="Calibri" w:cs="Arial"/>
        </w:rPr>
        <w:t>Artsenlaboratorium</w:t>
      </w:r>
      <w:proofErr w:type="spellEnd"/>
      <w:r w:rsidRPr="00064E7C">
        <w:rPr>
          <w:rFonts w:ascii="Calibri" w:hAnsi="Calibri" w:cs="Arial"/>
        </w:rPr>
        <w:t xml:space="preserve"> </w:t>
      </w:r>
      <w:proofErr w:type="spellStart"/>
      <w:r w:rsidRPr="00064E7C">
        <w:rPr>
          <w:rFonts w:ascii="Calibri" w:hAnsi="Calibri" w:cs="Arial"/>
        </w:rPr>
        <w:t>Rijnmond</w:t>
      </w:r>
      <w:proofErr w:type="spellEnd"/>
      <w:r w:rsidRPr="00064E7C">
        <w:rPr>
          <w:rFonts w:ascii="Calibri" w:hAnsi="Calibri" w:cs="Arial"/>
        </w:rPr>
        <w:t xml:space="preserve"> (STAR-MDC), Rotterdam. We gratefully acknowledge the contribution of children and parents, general practitioners, hospitals, midwives and pharmacies in </w:t>
      </w:r>
      <w:smartTag w:uri="urn:schemas-microsoft-com:office:smarttags" w:element="place">
        <w:smartTag w:uri="urn:schemas-microsoft-com:office:smarttags" w:element="City">
          <w:r w:rsidRPr="00064E7C">
            <w:rPr>
              <w:rFonts w:ascii="Calibri" w:hAnsi="Calibri" w:cs="Arial"/>
            </w:rPr>
            <w:t>Rotterdam</w:t>
          </w:r>
        </w:smartTag>
      </w:smartTag>
      <w:r w:rsidRPr="00064E7C">
        <w:rPr>
          <w:rFonts w:ascii="Calibri" w:hAnsi="Calibri" w:cs="Arial"/>
        </w:rPr>
        <w:t xml:space="preserve">. The study protocol was approved by the Medical Ethical Committee of the Erasmus MC, Rotterdam. Written informed consent was </w:t>
      </w:r>
      <w:r w:rsidRPr="00DC09D0">
        <w:rPr>
          <w:rFonts w:cs="Arial"/>
        </w:rPr>
        <w:t xml:space="preserve">obtained for all participants. The generation and management of the Illumina 450K methylation array data (EWAS data) for the Generation R Study was executed by the Human Genotyping Facility of the Genetic Laboratory of the Department of Internal Medicine, Erasmus MC, the Netherlands. We thank Mr. Michael </w:t>
      </w:r>
      <w:proofErr w:type="spellStart"/>
      <w:r w:rsidRPr="00DC09D0">
        <w:rPr>
          <w:rFonts w:cs="Arial"/>
        </w:rPr>
        <w:t>Verbiest</w:t>
      </w:r>
      <w:proofErr w:type="spellEnd"/>
      <w:r w:rsidRPr="00DC09D0">
        <w:rPr>
          <w:rFonts w:cs="Arial"/>
        </w:rPr>
        <w:t xml:space="preserve">, Ms. Mila </w:t>
      </w:r>
      <w:proofErr w:type="spellStart"/>
      <w:r w:rsidRPr="00DC09D0">
        <w:rPr>
          <w:rFonts w:cs="Arial"/>
        </w:rPr>
        <w:t>Jhamai</w:t>
      </w:r>
      <w:proofErr w:type="spellEnd"/>
      <w:r w:rsidRPr="00DC09D0">
        <w:rPr>
          <w:rFonts w:cs="Arial"/>
        </w:rPr>
        <w:t xml:space="preserve">, Ms. Sarah Higgins, Mr. </w:t>
      </w:r>
      <w:proofErr w:type="spellStart"/>
      <w:r w:rsidRPr="00DC09D0">
        <w:rPr>
          <w:rFonts w:cs="Arial"/>
        </w:rPr>
        <w:t>Marijn</w:t>
      </w:r>
      <w:proofErr w:type="spellEnd"/>
      <w:r w:rsidRPr="00DC09D0">
        <w:rPr>
          <w:rFonts w:cs="Arial"/>
        </w:rPr>
        <w:t xml:space="preserve"> </w:t>
      </w:r>
      <w:proofErr w:type="spellStart"/>
      <w:r w:rsidRPr="00DC09D0">
        <w:rPr>
          <w:rFonts w:cs="Arial"/>
        </w:rPr>
        <w:t>Verkerk</w:t>
      </w:r>
      <w:proofErr w:type="spellEnd"/>
      <w:r w:rsidRPr="00DC09D0">
        <w:rPr>
          <w:rFonts w:cs="Arial"/>
        </w:rPr>
        <w:t xml:space="preserve"> and </w:t>
      </w:r>
      <w:proofErr w:type="spellStart"/>
      <w:r w:rsidRPr="00DC09D0">
        <w:rPr>
          <w:rFonts w:cs="Arial"/>
        </w:rPr>
        <w:t>Dr.</w:t>
      </w:r>
      <w:proofErr w:type="spellEnd"/>
      <w:r w:rsidRPr="00DC09D0">
        <w:rPr>
          <w:rFonts w:cs="Arial"/>
        </w:rPr>
        <w:t xml:space="preserve"> Lisette </w:t>
      </w:r>
      <w:proofErr w:type="spellStart"/>
      <w:r w:rsidRPr="00DC09D0">
        <w:rPr>
          <w:rFonts w:cs="Arial"/>
        </w:rPr>
        <w:t>Stolk</w:t>
      </w:r>
      <w:proofErr w:type="spellEnd"/>
      <w:r w:rsidRPr="00DC09D0">
        <w:rPr>
          <w:rFonts w:cs="Arial"/>
        </w:rPr>
        <w:t xml:space="preserve"> for their help in creating the EWAS database.</w:t>
      </w:r>
      <w:r>
        <w:rPr>
          <w:rFonts w:cs="Arial"/>
        </w:rPr>
        <w:t xml:space="preserve"> We thank </w:t>
      </w:r>
      <w:proofErr w:type="spellStart"/>
      <w:r>
        <w:rPr>
          <w:rFonts w:cs="Arial"/>
        </w:rPr>
        <w:t>Dr.</w:t>
      </w:r>
      <w:proofErr w:type="spellEnd"/>
      <w:r>
        <w:rPr>
          <w:rFonts w:cs="Arial"/>
        </w:rPr>
        <w:t xml:space="preserve"> </w:t>
      </w:r>
      <w:proofErr w:type="spellStart"/>
      <w:r>
        <w:rPr>
          <w:rFonts w:cs="Arial"/>
        </w:rPr>
        <w:t>A.Teumer</w:t>
      </w:r>
      <w:proofErr w:type="spellEnd"/>
      <w:r>
        <w:rPr>
          <w:rFonts w:cs="Arial"/>
        </w:rPr>
        <w:t xml:space="preserve"> for his work on the quality control and normalization scripts.</w:t>
      </w:r>
      <w:r w:rsidR="00310856">
        <w:rPr>
          <w:rFonts w:cs="Arial"/>
        </w:rPr>
        <w:t xml:space="preserve"> </w:t>
      </w:r>
      <w:r w:rsidRPr="00DC09D0">
        <w:rPr>
          <w:rFonts w:cs="Arial"/>
        </w:rPr>
        <w:t>The</w:t>
      </w:r>
      <w:r>
        <w:rPr>
          <w:rFonts w:cs="Arial"/>
        </w:rPr>
        <w:t xml:space="preserve"> general design of the</w:t>
      </w:r>
      <w:r w:rsidRPr="00DC09D0">
        <w:rPr>
          <w:rFonts w:cs="Arial"/>
        </w:rPr>
        <w:t xml:space="preserve"> Generation R Study is made possible by financial support from Erasmus MC, Rotterdam, the Erasmus University Rotterdam</w:t>
      </w:r>
      <w:r>
        <w:rPr>
          <w:rFonts w:cs="Arial"/>
        </w:rPr>
        <w:t>,</w:t>
      </w:r>
      <w:r w:rsidRPr="00DC09D0">
        <w:rPr>
          <w:rFonts w:cs="Arial"/>
        </w:rPr>
        <w:t xml:space="preserve"> the</w:t>
      </w:r>
      <w:r w:rsidRPr="00EA426E">
        <w:rPr>
          <w:rFonts w:ascii="Calibri" w:hAnsi="Calibri" w:cs="Arial"/>
        </w:rPr>
        <w:t xml:space="preserve"> Netherlands Organization for Health Research and Development</w:t>
      </w:r>
      <w:r>
        <w:rPr>
          <w:rFonts w:ascii="Calibri" w:hAnsi="Calibri" w:cs="Arial"/>
        </w:rPr>
        <w:t xml:space="preserve"> and the Ministry of Health, Welfare and Sport</w:t>
      </w:r>
      <w:r w:rsidRPr="00EA426E">
        <w:rPr>
          <w:rFonts w:ascii="Calibri" w:hAnsi="Calibri" w:cs="Arial"/>
        </w:rPr>
        <w:t>.</w:t>
      </w:r>
      <w:r>
        <w:rPr>
          <w:rFonts w:ascii="Calibri" w:hAnsi="Calibri" w:cs="Arial"/>
        </w:rPr>
        <w:t xml:space="preserve">  </w:t>
      </w:r>
      <w:r w:rsidRPr="00DC09D0">
        <w:rPr>
          <w:rFonts w:cs="Arial"/>
        </w:rPr>
        <w:t>The EWAS data was funded by a grant to VWJ from the Netherlands Genomics Initiative (NGI)/Netherlands Organisation for Scientific Research (NWO) Netherlands Consortium for Healthy Aging (NCHA; project nr. 050-060-810), by funds from the Genetic Laboratory of the Department of Internal Medicine, Erasmus MC</w:t>
      </w:r>
      <w:r>
        <w:rPr>
          <w:rFonts w:cs="Arial"/>
        </w:rPr>
        <w:t>, and by a grant from the National Institute of Child and Human Development (</w:t>
      </w:r>
      <w:r>
        <w:rPr>
          <w:rFonts w:ascii="Calibri" w:hAnsi="Calibri"/>
          <w:color w:val="000000"/>
        </w:rPr>
        <w:t>R01HD068437)</w:t>
      </w:r>
      <w:r w:rsidRPr="00DC09D0">
        <w:rPr>
          <w:rFonts w:cs="Arial"/>
        </w:rPr>
        <w:t>.</w:t>
      </w:r>
      <w:r>
        <w:rPr>
          <w:rFonts w:cs="Arial"/>
        </w:rPr>
        <w:t xml:space="preserve"> </w:t>
      </w:r>
      <w:bookmarkEnd w:id="4"/>
      <w:r>
        <w:rPr>
          <w:rFonts w:cs="Arial"/>
        </w:rPr>
        <w:t>This project has received funding from</w:t>
      </w:r>
      <w:r w:rsidRPr="00EA426E">
        <w:rPr>
          <w:rFonts w:ascii="Calibri" w:eastAsia="Times New Roman" w:hAnsi="Calibri"/>
          <w:color w:val="000000"/>
        </w:rPr>
        <w:t xml:space="preserve"> the European Union’s Horizon 2020 research and innovation programme under grant agreement </w:t>
      </w:r>
      <w:r w:rsidRPr="00FC65FF">
        <w:rPr>
          <w:rFonts w:eastAsia="Times New Roman"/>
          <w:color w:val="000000"/>
        </w:rPr>
        <w:t>No</w:t>
      </w:r>
      <w:r>
        <w:rPr>
          <w:rFonts w:eastAsia="Times New Roman"/>
          <w:color w:val="000000"/>
        </w:rPr>
        <w:t>s</w:t>
      </w:r>
      <w:r w:rsidRPr="00FC65FF">
        <w:rPr>
          <w:rFonts w:eastAsia="Times New Roman"/>
          <w:color w:val="000000"/>
        </w:rPr>
        <w:t xml:space="preserve"> 633595 (</w:t>
      </w:r>
      <w:proofErr w:type="spellStart"/>
      <w:r w:rsidRPr="00FC65FF">
        <w:rPr>
          <w:rFonts w:eastAsia="Times New Roman"/>
          <w:color w:val="000000"/>
        </w:rPr>
        <w:t>DynaHEALTH</w:t>
      </w:r>
      <w:proofErr w:type="spellEnd"/>
      <w:r w:rsidRPr="00FC65FF">
        <w:rPr>
          <w:rFonts w:eastAsia="Times New Roman"/>
          <w:color w:val="000000"/>
        </w:rPr>
        <w:t>)</w:t>
      </w:r>
      <w:r>
        <w:rPr>
          <w:rFonts w:eastAsia="Times New Roman"/>
          <w:color w:val="000000"/>
        </w:rPr>
        <w:t xml:space="preserve"> and </w:t>
      </w:r>
      <w:r w:rsidRPr="00FC65FF">
        <w:rPr>
          <w:rFonts w:eastAsia="Times New Roman"/>
          <w:color w:val="000000"/>
        </w:rPr>
        <w:t>733206</w:t>
      </w:r>
      <w:r>
        <w:rPr>
          <w:rFonts w:eastAsia="Times New Roman"/>
          <w:color w:val="000000"/>
        </w:rPr>
        <w:t xml:space="preserve"> (</w:t>
      </w:r>
      <w:proofErr w:type="spellStart"/>
      <w:r w:rsidRPr="00FC65FF">
        <w:rPr>
          <w:rFonts w:eastAsia="Times New Roman"/>
          <w:color w:val="000000"/>
        </w:rPr>
        <w:t>L</w:t>
      </w:r>
      <w:r>
        <w:rPr>
          <w:rFonts w:eastAsia="Times New Roman"/>
          <w:color w:val="000000"/>
        </w:rPr>
        <w:t>ifeCycle</w:t>
      </w:r>
      <w:proofErr w:type="spellEnd"/>
      <w:r w:rsidRPr="00FC65FF">
        <w:rPr>
          <w:rFonts w:eastAsia="Times New Roman"/>
          <w:color w:val="000000"/>
        </w:rPr>
        <w:t>)</w:t>
      </w:r>
      <w:r>
        <w:rPr>
          <w:rFonts w:eastAsia="Times New Roman"/>
          <w:color w:val="000000"/>
        </w:rPr>
        <w:t xml:space="preserve">, as well as from </w:t>
      </w:r>
      <w:r w:rsidRPr="007075FF">
        <w:rPr>
          <w:rFonts w:eastAsia="Times New Roman"/>
          <w:color w:val="000000"/>
        </w:rPr>
        <w:t xml:space="preserve">the European Joint Programming Initiative “A Healthy Diet for a Healthy Life” (JPI HDHL, </w:t>
      </w:r>
      <w:proofErr w:type="spellStart"/>
      <w:r w:rsidRPr="007075FF">
        <w:rPr>
          <w:rFonts w:eastAsia="Times New Roman"/>
          <w:color w:val="000000"/>
        </w:rPr>
        <w:t>NutriPROGRAM</w:t>
      </w:r>
      <w:proofErr w:type="spellEnd"/>
      <w:r w:rsidRPr="007075FF">
        <w:rPr>
          <w:rFonts w:eastAsia="Times New Roman"/>
          <w:color w:val="000000"/>
        </w:rPr>
        <w:t xml:space="preserve"> project, </w:t>
      </w:r>
      <w:proofErr w:type="spellStart"/>
      <w:r w:rsidRPr="007075FF">
        <w:rPr>
          <w:rFonts w:eastAsia="Times New Roman"/>
          <w:color w:val="000000"/>
        </w:rPr>
        <w:t>ZonMw</w:t>
      </w:r>
      <w:proofErr w:type="spellEnd"/>
      <w:r w:rsidRPr="007075FF">
        <w:rPr>
          <w:rFonts w:eastAsia="Times New Roman"/>
          <w:color w:val="000000"/>
        </w:rPr>
        <w:t xml:space="preserve"> the Netherlands no.529051022).</w:t>
      </w:r>
    </w:p>
    <w:p w14:paraId="5DC69321" w14:textId="77777777" w:rsidR="00667E49" w:rsidRDefault="00667E49" w:rsidP="00CA7657">
      <w:r>
        <w:br w:type="page"/>
      </w:r>
    </w:p>
    <w:p w14:paraId="2607414A" w14:textId="77777777" w:rsidR="00503344" w:rsidRPr="00F774A6" w:rsidRDefault="00503344" w:rsidP="00CA7657">
      <w:pPr>
        <w:pStyle w:val="Heading1"/>
      </w:pPr>
      <w:r w:rsidRPr="00F774A6">
        <w:lastRenderedPageBreak/>
        <w:t xml:space="preserve">INMA – </w:t>
      </w:r>
      <w:proofErr w:type="spellStart"/>
      <w:r w:rsidRPr="00F774A6">
        <w:t>Infancia</w:t>
      </w:r>
      <w:proofErr w:type="spellEnd"/>
      <w:r w:rsidRPr="00F774A6">
        <w:t xml:space="preserve"> y Medio </w:t>
      </w:r>
      <w:proofErr w:type="spellStart"/>
      <w:r w:rsidRPr="00F774A6">
        <w:t>Ambiente</w:t>
      </w:r>
      <w:proofErr w:type="spellEnd"/>
    </w:p>
    <w:p w14:paraId="7F6087B9" w14:textId="7F91E2A1" w:rsidR="002468D1" w:rsidRDefault="002468D1" w:rsidP="00CA7657">
      <w:r w:rsidRPr="002468D1">
        <w:t xml:space="preserve">Population-based birth cohorts were established as part of the INMA – </w:t>
      </w:r>
      <w:proofErr w:type="spellStart"/>
      <w:r w:rsidRPr="002468D1">
        <w:t>INfancia</w:t>
      </w:r>
      <w:proofErr w:type="spellEnd"/>
      <w:r w:rsidRPr="002468D1">
        <w:t xml:space="preserve"> y Medio </w:t>
      </w:r>
      <w:proofErr w:type="spellStart"/>
      <w:r w:rsidRPr="002468D1">
        <w:t>Ambiente</w:t>
      </w:r>
      <w:proofErr w:type="spellEnd"/>
      <w:r w:rsidRPr="002468D1">
        <w:t xml:space="preserve"> </w:t>
      </w:r>
      <w:r>
        <w:t>(</w:t>
      </w:r>
      <w:r w:rsidRPr="002468D1">
        <w:t>Environment and Childhood</w:t>
      </w:r>
      <w:r>
        <w:t>)</w:t>
      </w:r>
      <w:r w:rsidRPr="002468D1">
        <w:t xml:space="preserve"> Project in several regions of Spain following a common protocol (</w:t>
      </w:r>
      <w:hyperlink r:id="rId12" w:history="1">
        <w:r w:rsidRPr="00D53AE0">
          <w:rPr>
            <w:rStyle w:val="Hyperlink"/>
          </w:rPr>
          <w:t>http://www.proyectoinma.org/</w:t>
        </w:r>
      </w:hyperlink>
      <w:r>
        <w:t>).</w:t>
      </w:r>
      <w:r w:rsidRPr="002468D1">
        <w:t xml:space="preserve"> This project aims to study the associations between pre- and postnatal environmental exposures and growth, health, and development from early foetal life until adolescence and has been described previously in detail</w:t>
      </w:r>
      <w:r w:rsidR="008F6272">
        <w:t xml:space="preserve"> </w:t>
      </w:r>
      <w:r w:rsidR="008F6272">
        <w:fldChar w:fldCharType="begin" w:fldLock="1"/>
      </w:r>
      <w:r w:rsidR="002755CC">
        <w:instrText>ADDIN CSL_CITATION {"citationItems":[{"id":"ITEM-1","itemData":{"DOI":"10.1093/ije/dyr054","ISSN":"1464-3685 (Electronic)","PMID":"21471022","author":[{"dropping-particle":"","family":"Guxens","given":"Monica","non-dropping-particle":"","parse-names":false,"suffix":""},{"dropping-particle":"","family":"Ballester","given":"Ferran","non-dropping-particle":"","parse-names":false,"suffix":""},{"dropping-particle":"","family":"Espada","given":"Mercedes","non-dropping-particle":"","parse-names":false,"suffix":""},{"dropping-particle":"","family":"Fernandez","given":"Mariana F","non-dropping-particle":"","parse-names":false,"suffix":""},{"dropping-particle":"","family":"Grimalt","given":"Joan O","non-dropping-particle":"","parse-names":false,"suffix":""},{"dropping-particle":"","family":"Ibarluzea","given":"Jesus","non-dropping-particle":"","parse-names":false,"suffix":""},{"dropping-particle":"","family":"Olea","given":"Nicolas","non-dropping-particle":"","parse-names":false,"suffix":""},{"dropping-particle":"","family":"Rebagliato","given":"Marisa","non-dropping-particle":"","parse-names":false,"suffix":""},{"dropping-particle":"","family":"Tardon","given":"Adonina","non-dropping-particle":"","parse-names":false,"suffix":""},{"dropping-particle":"","family":"Torrent","given":"Maties","non-dropping-particle":"","parse-names":false,"suffix":""},{"dropping-particle":"","family":"Vioque","given":"Jesus","non-dropping-particle":"","parse-names":false,"suffix":""},{"dropping-particle":"","family":"Vrijheid","given":"Martine","non-dropping-particle":"","parse-names":false,"suffix":""},{"dropping-particle":"","family":"Sunyer","given":"Jordi","non-dropping-particle":"","parse-names":false,"suffix":""}],"container-title":"International journal of epidemiology","id":"ITEM-1","issue":"4","issued":{"date-parts":[["2012","8"]]},"language":"eng","page":"930-940","publisher-place":"England","title":"Cohort Profile: the INMA--INfancia y Medio Ambiente--(Environment and Childhood) Project.","type":"article-journal","volume":"41"},"uris":["http://www.mendeley.com/documents/?uuid=d91a2203-b1da-4a6d-a4bb-bdc9116435fd"]}],"mendeley":{"formattedCitation":"&lt;span style=\"baseline\"&gt;(25)&lt;/span&gt;","plainTextFormattedCitation":"(25)","previouslyFormattedCitation":"&lt;span style=\"baseline\"&gt;(24)&lt;/span&gt;"},"properties":{"noteIndex":0},"schema":"https://github.com/citation-style-language/schema/raw/master/csl-citation.json"}</w:instrText>
      </w:r>
      <w:r w:rsidR="008F6272">
        <w:fldChar w:fldCharType="separate"/>
      </w:r>
      <w:r w:rsidR="002755CC" w:rsidRPr="002755CC">
        <w:rPr>
          <w:noProof/>
        </w:rPr>
        <w:t>(25)</w:t>
      </w:r>
      <w:r w:rsidR="008F6272">
        <w:fldChar w:fldCharType="end"/>
      </w:r>
      <w:r w:rsidRPr="002468D1">
        <w:t xml:space="preserve">. Pregnant women were enrolled during the </w:t>
      </w:r>
      <w:r>
        <w:t>first</w:t>
      </w:r>
      <w:r w:rsidRPr="002468D1">
        <w:t xml:space="preserve"> trimester of pregnancy at public primary health care </w:t>
      </w:r>
      <w:proofErr w:type="spellStart"/>
      <w:r w:rsidRPr="002468D1">
        <w:t>centers</w:t>
      </w:r>
      <w:proofErr w:type="spellEnd"/>
      <w:r w:rsidRPr="002468D1">
        <w:t xml:space="preserve"> or public hospitals. Detailed measurements were performed using ultrasound and physical examinations and biological samples were collected. Informed consent was obtained from all participants and the study was approved by the Hospital Ethics Committees in each participating region. </w:t>
      </w:r>
    </w:p>
    <w:p w14:paraId="3543CE3A" w14:textId="6855E16D" w:rsidR="002468D1" w:rsidRDefault="002468D1" w:rsidP="00CA7657">
      <w:r w:rsidRPr="002468D1">
        <w:t xml:space="preserve">Blood DNA methylation data was assessed with the Infinium HumanMethylation450 </w:t>
      </w:r>
      <w:proofErr w:type="spellStart"/>
      <w:r w:rsidRPr="002468D1">
        <w:t>BeadChip</w:t>
      </w:r>
      <w:proofErr w:type="spellEnd"/>
      <w:r w:rsidRPr="002468D1">
        <w:t xml:space="preserve"> only in INMA Sabadell </w:t>
      </w:r>
      <w:proofErr w:type="spellStart"/>
      <w:r w:rsidRPr="002468D1">
        <w:t>subcohort</w:t>
      </w:r>
      <w:proofErr w:type="spellEnd"/>
      <w:r w:rsidRPr="002468D1">
        <w:t>.</w:t>
      </w:r>
      <w:r>
        <w:t xml:space="preserve"> </w:t>
      </w:r>
      <w:r w:rsidR="00CA7657">
        <w:t xml:space="preserve">Cord blood or whole blood collected at age 4y was extracted using the </w:t>
      </w:r>
      <w:proofErr w:type="spellStart"/>
      <w:r w:rsidR="00CA7657">
        <w:t>Chemagen</w:t>
      </w:r>
      <w:proofErr w:type="spellEnd"/>
      <w:r w:rsidR="00CA7657">
        <w:t xml:space="preserve"> kit (Perkin Elmer). DNA concentration was determined by </w:t>
      </w:r>
      <w:proofErr w:type="spellStart"/>
      <w:r w:rsidR="00CA7657">
        <w:t>NanoDrop</w:t>
      </w:r>
      <w:proofErr w:type="spellEnd"/>
      <w:r w:rsidR="00CA7657">
        <w:t xml:space="preserve"> spectrophotometer (Thermo Scientific) and with the Quant-</w:t>
      </w:r>
      <w:proofErr w:type="spellStart"/>
      <w:r w:rsidR="00CA7657">
        <w:t>iT</w:t>
      </w:r>
      <w:proofErr w:type="spellEnd"/>
      <w:r w:rsidR="00CA7657">
        <w:t xml:space="preserve"> </w:t>
      </w:r>
      <w:proofErr w:type="spellStart"/>
      <w:r w:rsidR="00CA7657">
        <w:t>PicoGreen</w:t>
      </w:r>
      <w:proofErr w:type="spellEnd"/>
      <w:r w:rsidR="00CA7657">
        <w:t xml:space="preserve"> dsDNA Assay Kit (Life Technologies). Methylation data was produced in two different laboratories as part of two different projects: in the Genome Analysis Facility of the University Medical </w:t>
      </w:r>
      <w:proofErr w:type="spellStart"/>
      <w:r w:rsidR="00CA7657">
        <w:t>Center</w:t>
      </w:r>
      <w:proofErr w:type="spellEnd"/>
      <w:r w:rsidR="00CA7657">
        <w:t xml:space="preserve"> Groningen (UMCG) in Holland, and in the </w:t>
      </w:r>
      <w:proofErr w:type="spellStart"/>
      <w:r w:rsidR="00CA7657">
        <w:t>Bellvitge</w:t>
      </w:r>
      <w:proofErr w:type="spellEnd"/>
      <w:r w:rsidR="00CA7657">
        <w:t xml:space="preserve"> Biomedical Research Institute (IDIBELL, Barcelona). Briefly, 500 ng of DNA was bisulphite-converted using the EZ 96-DNA methylation kit following the manufacturer’s standard protocol, and DNA methylation measured using the Illumina Infinium HumanMethylation450 </w:t>
      </w:r>
      <w:proofErr w:type="spellStart"/>
      <w:r w:rsidR="00CA7657">
        <w:t>beadchip</w:t>
      </w:r>
      <w:proofErr w:type="spellEnd"/>
      <w:r w:rsidR="00CA7657">
        <w:t xml:space="preserve">. </w:t>
      </w:r>
    </w:p>
    <w:p w14:paraId="054B5107" w14:textId="2FB64374" w:rsidR="00CA7657" w:rsidRDefault="00CA7657" w:rsidP="00CA7657">
      <w:r>
        <w:t xml:space="preserve">DNA methylation data were pre-processed using the </w:t>
      </w:r>
      <w:proofErr w:type="spellStart"/>
      <w:r w:rsidRPr="006D06D3">
        <w:rPr>
          <w:i/>
        </w:rPr>
        <w:t>minfi</w:t>
      </w:r>
      <w:proofErr w:type="spellEnd"/>
      <w:r>
        <w:t xml:space="preserve"> package</w:t>
      </w:r>
      <w:r w:rsidR="008F6272">
        <w:t xml:space="preserve"> </w:t>
      </w:r>
      <w:r w:rsidR="008F6272">
        <w:fldChar w:fldCharType="begin" w:fldLock="1"/>
      </w:r>
      <w:r w:rsidR="008F6272">
        <w:instrText>ADDIN CSL_CITATION {"citationItems":[{"id":"ITEM-1","itemData":{"DOI":"10.1093/bioinformatics/btu049","ISSN":"1367-4811 (Electronic)","PMID":"24478339","abstract":"MOTIVATION: The recently released Infinium HumanMethylation450 array (the '450k' array) provides a high-throughput assay to quantify DNA methylation (DNAm) at approximately 450 000 loci across a range of genomic features. Although less comprehensive than high-throughput sequencing-based techniques, this product is more cost-effective and promises to be the most widely used DNAm high-throughput measurement technology over the next several years. RESULTS: Here we describe a suite of computational tools that incorporate state-of-the-art statistical techniques for the analysis of DNAm data. The software is structured to easily adapt to future versions of the technology. We include methods for preprocessing, quality assessment and detection of differentially methylated regions from the kilobase to the megabase scale. We show how our software provides a powerful and flexible development platform for future methods. We also illustrate how our methods empower the technology to make discoveries previously thought to be possible only with sequencing-based methods. AVAILABILITY AND IMPLEMENTATION: http://bioconductor.org/packages/release/bioc/html/minfi.html. CONTACT: khansen@jhsph.edu; rafa@jimmy.harvard.edu SUPPLEMENTARY INFORMATION: Supplementary data are available at Bioinformatics online.","author":[{"dropping-particle":"","family":"Aryee","given":"Martin J","non-dropping-particle":"","parse-names":false,"suffix":""},{"dropping-particle":"","family":"Jaffe","given":"Andrew E","non-dropping-particle":"","parse-names":false,"suffix":""},{"dropping-particle":"","family":"Corrada-Bravo","given":"Hector","non-dropping-particle":"","parse-names":false,"suffix":""},{"dropping-particle":"","family":"Ladd-Acosta","given":"Christine","non-dropping-particle":"","parse-names":false,"suffix":""},{"dropping-particle":"","family":"Feinberg","given":"Andrew P","non-dropping-particle":"","parse-names":false,"suffix":""},{"dropping-particle":"","family":"Hansen","given":"Kasper D","non-dropping-particle":"","parse-names":false,"suffix":""},{"dropping-particle":"","family":"Irizarry","given":"Rafael A","non-dropping-particle":"","parse-names":false,"suffix":""}],"container-title":"Bioinformatics (Oxford, England)","id":"ITEM-1","issue":"10","issued":{"date-parts":[["2014","5"]]},"language":"eng","page":"1363-1369","publisher-place":"England","title":"Minfi: a flexible and comprehensive Bioconductor package for the analysis of Infinium DNA methylation microarrays.","type":"article-journal","volume":"30"},"uris":["http://www.mendeley.com/documents/?uuid=feec687b-7c51-4a7c-b578-fe16b28703f8"]}],"mendeley":{"formattedCitation":"&lt;span style=\"baseline\"&gt;(7)&lt;/span&gt;","plainTextFormattedCitation":"(7)","previouslyFormattedCitation":"&lt;span style=\"baseline\"&gt;(7)&lt;/span&gt;"},"properties":{"noteIndex":0},"schema":"https://github.com/citation-style-language/schema/raw/master/csl-citation.json"}</w:instrText>
      </w:r>
      <w:r w:rsidR="008F6272">
        <w:fldChar w:fldCharType="separate"/>
      </w:r>
      <w:r w:rsidR="008F6272" w:rsidRPr="008F6272">
        <w:rPr>
          <w:noProof/>
        </w:rPr>
        <w:t>(7)</w:t>
      </w:r>
      <w:r w:rsidR="008F6272">
        <w:fldChar w:fldCharType="end"/>
      </w:r>
      <w:r>
        <w:t xml:space="preserve">. First, </w:t>
      </w:r>
      <w:r w:rsidR="002468D1">
        <w:t>two</w:t>
      </w:r>
      <w:r>
        <w:t xml:space="preserve"> samples with bad overall quality or with low detection p-value according to the output of the </w:t>
      </w:r>
      <w:proofErr w:type="spellStart"/>
      <w:r w:rsidRPr="00332889">
        <w:rPr>
          <w:i/>
        </w:rPr>
        <w:t>MethylAid</w:t>
      </w:r>
      <w:proofErr w:type="spellEnd"/>
      <w:r w:rsidRPr="00332889">
        <w:t xml:space="preserve"> </w:t>
      </w:r>
      <w:r>
        <w:t>package</w:t>
      </w:r>
      <w:r w:rsidR="00332889">
        <w:t xml:space="preserve"> </w:t>
      </w:r>
      <w:r w:rsidR="008F6272">
        <w:fldChar w:fldCharType="begin" w:fldLock="1"/>
      </w:r>
      <w:r w:rsidR="002755CC">
        <w:instrText>ADDIN CSL_CITATION {"citationItems":[{"id":"ITEM-1","itemData":{"DOI":"10.1093/bioinformatics/btu566","ISSN":"1367-4811 (Electronic)","PMID":"25147358","abstract":"UNLABELLED: The Illumina 450k array is a frequently used platform for large-scale genome-wide DNA methylation studies, i.e. epigenome-wide association studies. Currently, quality control of 450k data can be performed with Illumina's GenomeStudio and is part of a limited number 450k analysis pipelines. However, GenomeStudio cannot handle large-scale studies, and existing pipelines provide limited options for quality control and neither support interactive exploration by the user. To aid the detection of bad-quality samples in large-scale genome-wide DNA methylation studies as flexible and transparent as possible, we have developed MethylAid; a visual and interactive Web application using RStudio's shiny package. Bad-quality samples are detected using sample- dependent and sample-independent quality control probes present on the array and user-adjustable thresholds. In-depth exploration of bad-quality samples can be performed using several interactive diagnostic plots. Furthermore, plots can be annotated with user-provided metadata, for example, to identify outlying batches. Our new tool makes quality assessment of 450k array data interactive, flexible and efficient and is, therefore, expected to be useful for both data analysts and core facilities. AVAILABILITY AND IMPLEMENTATION: MethylAid is implemented as an R/Bioconductor package (www.bioconductor.org/packages/3.0/bioc/html/MethylAid.html). A demo application is available from shiny.bioexp.nl/MethylAid.","author":[{"dropping-particle":"","family":"Iterson","given":"Maarten","non-dropping-particle":"van","parse-names":false,"suffix":""},{"dropping-particle":"","family":"Tobi","given":"Elmar W","non-dropping-particle":"","parse-names":false,"suffix":""},{"dropping-particle":"","family":"Slieker","given":"Roderick C","non-dropping-particle":"","parse-names":false,"suffix":""},{"dropping-particle":"","family":"Hollander","given":"Wouter","non-dropping-particle":"den","parse-names":false,"suffix":""},{"dropping-particle":"","family":"Luijk","given":"Rene","non-dropping-particle":"","parse-names":false,"suffix":""},{"dropping-particle":"","family":"Slagboom","given":"P Eline","non-dropping-particle":"","parse-names":false,"suffix":""},{"dropping-particle":"","family":"Heijmans","given":"Bastiaan T","non-dropping-particle":"","parse-names":false,"suffix":""}],"container-title":"Bioinformatics (Oxford, England)","id":"ITEM-1","issue":"23","issued":{"date-parts":[["2014","12"]]},"language":"eng","page":"3435-3437","publisher-place":"England","title":"MethylAid: visual and interactive quality control of large Illumina 450k datasets.","type":"article-journal","volume":"30"},"uris":["http://www.mendeley.com/documents/?uuid=d340e4f9-7d47-492e-bde3-7ca42352c1c6"]}],"mendeley":{"formattedCitation":"&lt;span style=\"baseline\"&gt;(26)&lt;/span&gt;","plainTextFormattedCitation":"(26)","previouslyFormattedCitation":"&lt;span style=\"baseline\"&gt;(25)&lt;/span&gt;"},"properties":{"noteIndex":0},"schema":"https://github.com/citation-style-language/schema/raw/master/csl-citation.json"}</w:instrText>
      </w:r>
      <w:r w:rsidR="008F6272">
        <w:fldChar w:fldCharType="separate"/>
      </w:r>
      <w:r w:rsidR="002755CC" w:rsidRPr="002755CC">
        <w:rPr>
          <w:noProof/>
        </w:rPr>
        <w:t>(26)</w:t>
      </w:r>
      <w:r w:rsidR="008F6272">
        <w:fldChar w:fldCharType="end"/>
      </w:r>
      <w:r w:rsidR="002468D1">
        <w:t xml:space="preserve"> and three</w:t>
      </w:r>
      <w:r>
        <w:t xml:space="preserve"> samples whose sex was wrongly predicted using </w:t>
      </w:r>
      <w:proofErr w:type="spellStart"/>
      <w:r>
        <w:t>s</w:t>
      </w:r>
      <w:r w:rsidRPr="00332889">
        <w:rPr>
          <w:i/>
        </w:rPr>
        <w:t>hinyMethyl</w:t>
      </w:r>
      <w:proofErr w:type="spellEnd"/>
      <w:r w:rsidR="008F6272" w:rsidRPr="008F6272">
        <w:t xml:space="preserve"> </w:t>
      </w:r>
      <w:r w:rsidR="008F6272">
        <w:fldChar w:fldCharType="begin" w:fldLock="1"/>
      </w:r>
      <w:r w:rsidR="002755CC">
        <w:instrText>ADDIN CSL_CITATION {"citationItems":[{"id":"ITEM-1","itemData":{"DOI":"10.12688/f1000research.4680.2","ISSN":"2046-1402 (Print)","PMID":"25285208","abstract":"We present shinyMethyl, a Bioconductor package for interactive quality control of DNA methylation data from Illumina 450k arrays. The package summarizes 450k experiments into small exportable R objects from which an interactive interface is launched. Reactive plots allow fast and intuitive quality control assessment of the samples. In addition, exploration of the phenotypic associations is possible through coloring and principal component analysis. Altogether, the package makes it easy to perform quality assessment of large-scale methylation datasets, such as epigenome-wide association studies or the datasets available through The Cancer Genome Atlas portal. The shinyMethyl package is implemented in R and available via Bioconductor. Its development repository is at https://github.com/jfortin1/shinyMethyl.","author":[{"dropping-particle":"","family":"Fortin","given":"Jean-Philippe","non-dropping-particle":"","parse-names":false,"suffix":""},{"dropping-particle":"","family":"Fertig","given":"Elana","non-dropping-particle":"","parse-names":false,"suffix":""},{"dropping-particle":"","family":"Hansen","given":"Kasper","non-dropping-particle":"","parse-names":false,"suffix":""}],"container-title":"F1000Research","id":"ITEM-1","issued":{"date-parts":[["2014"]]},"language":"eng","page":"175","publisher-place":"England","title":"shinyMethyl: interactive quality control of Illumina 450k DNA methylation arrays in R.","type":"article-journal","volume":"3"},"uris":["http://www.mendeley.com/documents/?uuid=d0358ef7-e6e3-4b93-84ff-87af0078f209"]}],"mendeley":{"formattedCitation":"&lt;span style=\"baseline\"&gt;(27)&lt;/span&gt;","plainTextFormattedCitation":"(27)","previouslyFormattedCitation":"&lt;span style=\"baseline\"&gt;(26)&lt;/span&gt;"},"properties":{"noteIndex":0},"schema":"https://github.com/citation-style-language/schema/raw/master/csl-citation.json"}</w:instrText>
      </w:r>
      <w:r w:rsidR="008F6272">
        <w:fldChar w:fldCharType="separate"/>
      </w:r>
      <w:r w:rsidR="002755CC" w:rsidRPr="002755CC">
        <w:rPr>
          <w:noProof/>
        </w:rPr>
        <w:t>(27)</w:t>
      </w:r>
      <w:r w:rsidR="008F6272">
        <w:fldChar w:fldCharType="end"/>
      </w:r>
      <w:r w:rsidR="008F6272">
        <w:t xml:space="preserve">, </w:t>
      </w:r>
      <w:r w:rsidR="002468D1">
        <w:t>were removed</w:t>
      </w:r>
      <w:r>
        <w:t xml:space="preserve">. Following guidelines of </w:t>
      </w:r>
      <w:proofErr w:type="spellStart"/>
      <w:r>
        <w:t>Lehne</w:t>
      </w:r>
      <w:proofErr w:type="spellEnd"/>
      <w:r>
        <w:t xml:space="preserve"> work</w:t>
      </w:r>
      <w:r w:rsidR="008F6272">
        <w:t xml:space="preserve"> </w:t>
      </w:r>
      <w:r w:rsidR="008F6272">
        <w:fldChar w:fldCharType="begin" w:fldLock="1"/>
      </w:r>
      <w:r w:rsidR="002755CC">
        <w:instrText>ADDIN CSL_CITATION {"citationItems":[{"id":"ITEM-1","itemData":{"DOI":"10.1186/s13059-015-0600-x","ISSN":"1474-760X (Electronic)","PMID":"25853392","abstract":"DNA methylation plays a fundamental role in the regulation of the genome, but the optimal strategy for analysis of genome-wide DNA methylation data remains to be determined. We developed a comprehensive analysis pipeline for epigenome-wide association studies (EWAS) using the Illumina Infinium HumanMethylation450 BeadChip, based on 2,687 individuals, with 36 samples measured in duplicate. We propose new approaches to quality control, data normalisation and batch correction through control-probe adjustment and establish a null hypothesis for EWAS using permutation testing. Our analysis pipeline outperforms existing approaches, enabling accurate identification of methylation quantitative trait loci for hypothesis driven follow-up experiments.","author":[{"dropping-particle":"","family":"Lehne","given":"Benjamin","non-dropping-particle":"","parse-names":false,"suffix":""},{"dropping-particle":"","family":"Drong","given":"Alexander W","non-dropping-particle":"","parse-names":false,"suffix":""},{"dropping-particle":"","family":"Loh","given":"Marie","non-dropping-particle":"","parse-names":false,"suffix":""},{"dropping-particle":"","family":"Zhang","given":"Weihua","non-dropping-particle":"","parse-names":false,"suffix":""},{"dropping-particle":"","family":"Scott","given":"William R","non-dropping-particle":"","parse-names":false,"suffix":""},{"dropping-particle":"","family":"Tan","given":"Sian-Tsung","non-dropping-particle":"","parse-names":false,"suffix":""},{"dropping-particle":"","family":"Afzal","given":"Uzma","non-dropping-particle":"","parse-names":false,"suffix":""},{"dropping-particle":"","family":"Scott","given":"James","non-dropping-particle":"","parse-names":false,"suffix":""},{"dropping-particle":"","family":"Jarvelin","given":"Marjo-Riitta","non-dropping-particle":"","parse-names":false,"suffix":""},{"dropping-particle":"","family":"Elliott","given":"Paul","non-dropping-particle":"","parse-names":false,"suffix":""},{"dropping-particle":"","family":"McCarthy","given":"Mark I","non-dropping-particle":"","parse-names":false,"suffix":""},{"dropping-particle":"","family":"Kooner","given":"Jaspal S","non-dropping-particle":"","parse-names":false,"suffix":""},{"dropping-particle":"","family":"Chambers","given":"John C","non-dropping-particle":"","parse-names":false,"suffix":""}],"container-title":"Genome biology","id":"ITEM-1","issued":{"date-parts":[["2015","2"]]},"language":"eng","page":"37","publisher-place":"England","title":"A coherent approach for analysis of the Illumina HumanMethylation450 BeadChip improves data quality and performance in epigenome-wide association studies.","type":"article-journal","volume":"16"},"uris":["http://www.mendeley.com/documents/?uuid=1effd5e7-986f-4665-b94e-287b2a403209"]}],"mendeley":{"formattedCitation":"&lt;span style=\"baseline\"&gt;(21)&lt;/span&gt;","plainTextFormattedCitation":"(21)","previouslyFormattedCitation":"&lt;span style=\"baseline\"&gt;(20)&lt;/span&gt;"},"properties":{"noteIndex":0},"schema":"https://github.com/citation-style-language/schema/raw/master/csl-citation.json"}</w:instrText>
      </w:r>
      <w:r w:rsidR="008F6272">
        <w:fldChar w:fldCharType="separate"/>
      </w:r>
      <w:r w:rsidR="002755CC" w:rsidRPr="002755CC">
        <w:rPr>
          <w:noProof/>
        </w:rPr>
        <w:t>(21)</w:t>
      </w:r>
      <w:r w:rsidR="008F6272">
        <w:fldChar w:fldCharType="end"/>
      </w:r>
      <w:r>
        <w:t>, we increased the stringency of the detection p-value threshold to 1</w:t>
      </w:r>
      <w:r w:rsidR="002468D1">
        <w:t>E</w:t>
      </w:r>
      <w:r>
        <w:t xml:space="preserve">-16 and we filtered 18 samples with a call rate lower than 98%. </w:t>
      </w:r>
      <w:r w:rsidR="002468D1">
        <w:t xml:space="preserve">Then, methylation data was </w:t>
      </w:r>
      <w:r>
        <w:t>normali</w:t>
      </w:r>
      <w:r w:rsidR="00EB4990">
        <w:t>s</w:t>
      </w:r>
      <w:r w:rsidR="002468D1">
        <w:t>ed with the</w:t>
      </w:r>
      <w:r>
        <w:t xml:space="preserve"> functional normali</w:t>
      </w:r>
      <w:r w:rsidR="00EB4990">
        <w:t>s</w:t>
      </w:r>
      <w:r>
        <w:t>ation</w:t>
      </w:r>
      <w:r w:rsidR="002468D1">
        <w:t xml:space="preserve"> method</w:t>
      </w:r>
      <w:r>
        <w:t xml:space="preserve">. Correlation between SNP in replicates samples was checked and probes not </w:t>
      </w:r>
      <w:r>
        <w:lastRenderedPageBreak/>
        <w:t>measuring SNPs were discarded. 7,136 probes with a call rate lower than 95% were also removed. Probes in sexual chromosomes, cross</w:t>
      </w:r>
      <w:r w:rsidR="00EB4990">
        <w:t>-</w:t>
      </w:r>
      <w:r>
        <w:t>h</w:t>
      </w:r>
      <w:r w:rsidR="00EB4990">
        <w:t>y</w:t>
      </w:r>
      <w:r>
        <w:t>bridi</w:t>
      </w:r>
      <w:r w:rsidR="00EB4990">
        <w:t>s</w:t>
      </w:r>
      <w:r>
        <w:t xml:space="preserve">ing or containing SNPs were flagged but not removed at this point. </w:t>
      </w:r>
      <w:proofErr w:type="spellStart"/>
      <w:r w:rsidRPr="00332889">
        <w:rPr>
          <w:i/>
        </w:rPr>
        <w:t>ComBat</w:t>
      </w:r>
      <w:proofErr w:type="spellEnd"/>
      <w:r>
        <w:t xml:space="preserve"> was applied to remove</w:t>
      </w:r>
      <w:r w:rsidR="002468D1">
        <w:t xml:space="preserve"> plate</w:t>
      </w:r>
      <w:r>
        <w:t xml:space="preserve"> batch effect</w:t>
      </w:r>
      <w:r w:rsidR="00C7711A">
        <w:t xml:space="preserve"> </w:t>
      </w:r>
      <w:r w:rsidR="00C7711A">
        <w:fldChar w:fldCharType="begin" w:fldLock="1"/>
      </w:r>
      <w:r w:rsidR="002755CC">
        <w:instrText>ADDIN CSL_CITATION {"citationItems":[{"id":"ITEM-1","itemData":{"DOI":"10.1093/biostatistics/kxj037","ISSN":"1465-4644 (Print)","PMID":"16632515","abstract":"Non-biological experimental variation or \"batch effects\" are commonly observed across multiple batches of microarray experiments, often rendering the task of combining data from these batches difficult. The ability to combine microarray data sets is advantageous to researchers to increase statistical power to detect biological phenomena from studies where logistical considerations restrict sample size or in studies that require the sequential hybridization of arrays. In general, it is inappropriate to combine data sets without adjusting for batch effects. Methods have been proposed to filter batch effects from data, but these are often complicated and require large batch sizes ( &gt; 25) to implement. Because the majority of microarray studies are conducted using much smaller sample sizes, existing methods are not sufficient. We propose parametric and non-parametric empirical Bayes frameworks for adjusting data for batch effects that is robust to outliers in small sample sizes and performs comparable to existing methods for large samples. We illustrate our methods using two example data sets and show that our methods are justifiable, easy to apply, and useful in practice. Software for our method is freely available at: http://biosun1.harvard.edu/complab/batch/.","author":[{"dropping-particle":"","family":"Johnson","given":"W Evan","non-dropping-particle":"","parse-names":false,"suffix":""},{"dropping-particle":"","family":"Li","given":"Cheng","non-dropping-particle":"","parse-names":false,"suffix":""},{"dropping-particle":"","family":"Rabinovic","given":"Ariel","non-dropping-particle":"","parse-names":false,"suffix":""}],"container-title":"Biostatistics (Oxford, England)","id":"ITEM-1","issue":"1","issued":{"date-parts":[["2007","1"]]},"language":"eng","page":"118-127","publisher-place":"England","title":"Adjusting batch effects in microarray expression data using empirical Bayes methods.","type":"article-journal","volume":"8"},"uris":["http://www.mendeley.com/documents/?uuid=800ff603-9dde-4ae9-8778-2982a8f63d47"]}],"mendeley":{"formattedCitation":"&lt;span style=\"baseline\"&gt;(28)&lt;/span&gt;","plainTextFormattedCitation":"(28)","previouslyFormattedCitation":"&lt;span style=\"baseline\"&gt;(27)&lt;/span&gt;"},"properties":{"noteIndex":0},"schema":"https://github.com/citation-style-language/schema/raw/master/csl-citation.json"}</w:instrText>
      </w:r>
      <w:r w:rsidR="00C7711A">
        <w:fldChar w:fldCharType="separate"/>
      </w:r>
      <w:r w:rsidR="002755CC" w:rsidRPr="002755CC">
        <w:rPr>
          <w:noProof/>
        </w:rPr>
        <w:t>(28)</w:t>
      </w:r>
      <w:r w:rsidR="00C7711A">
        <w:fldChar w:fldCharType="end"/>
      </w:r>
      <w:r>
        <w:t>. Finally, duplicated samples were removed, prioriti</w:t>
      </w:r>
      <w:r w:rsidR="00332889">
        <w:t>s</w:t>
      </w:r>
      <w:r>
        <w:t xml:space="preserve">ing </w:t>
      </w:r>
      <w:proofErr w:type="spellStart"/>
      <w:r>
        <w:t>MeDALL</w:t>
      </w:r>
      <w:proofErr w:type="spellEnd"/>
      <w:r>
        <w:t xml:space="preserve"> samples over BREATHE samples. The final dataset consisted of 616 samples (391 at age 0y and 209 at age 4y, 185 of them paired) and 476,946 probes.</w:t>
      </w:r>
      <w:r w:rsidR="002468D1">
        <w:t xml:space="preserve"> </w:t>
      </w:r>
      <w:r w:rsidR="002468D1" w:rsidRPr="002468D1">
        <w:t>Only European ancestry children based on questionnaire information were analysed.</w:t>
      </w:r>
    </w:p>
    <w:p w14:paraId="357037BC" w14:textId="77777777" w:rsidR="002468D1" w:rsidRDefault="00CA7657" w:rsidP="00CA7657">
      <w:r>
        <w:t>H</w:t>
      </w:r>
      <w:r w:rsidR="00EB4990">
        <w:t>a</w:t>
      </w:r>
      <w:r>
        <w:t xml:space="preserve">emoglobin was collected in </w:t>
      </w:r>
      <w:r w:rsidR="002468D1">
        <w:t>eight different</w:t>
      </w:r>
      <w:r>
        <w:t xml:space="preserve"> time</w:t>
      </w:r>
      <w:r w:rsidR="002468D1">
        <w:t>-</w:t>
      </w:r>
      <w:r>
        <w:t xml:space="preserve">points during </w:t>
      </w:r>
      <w:r w:rsidR="00332889">
        <w:t>pregnancy,</w:t>
      </w:r>
      <w:r>
        <w:t xml:space="preserve"> </w:t>
      </w:r>
      <w:r w:rsidR="002468D1">
        <w:t>but</w:t>
      </w:r>
      <w:r>
        <w:t xml:space="preserve"> each mother</w:t>
      </w:r>
      <w:r w:rsidR="002468D1">
        <w:t xml:space="preserve"> only</w:t>
      </w:r>
      <w:r>
        <w:t xml:space="preserve"> ha</w:t>
      </w:r>
      <w:r w:rsidR="002468D1">
        <w:t>d</w:t>
      </w:r>
      <w:r>
        <w:t xml:space="preserve"> between 2 and 4 measures. We </w:t>
      </w:r>
      <w:r w:rsidR="002468D1">
        <w:t xml:space="preserve">calculated a z-score of the haemoglobin levels from the </w:t>
      </w:r>
      <w:r>
        <w:t>latest measure from each woman.</w:t>
      </w:r>
      <w:r w:rsidR="00EB4990">
        <w:t xml:space="preserve"> </w:t>
      </w:r>
      <w:r>
        <w:t>Gestational age</w:t>
      </w:r>
      <w:r w:rsidR="00EB4990">
        <w:t xml:space="preserve"> at birth and at haemoglobin measurement were used as</w:t>
      </w:r>
      <w:r>
        <w:t xml:space="preserve"> continuous</w:t>
      </w:r>
      <w:r w:rsidR="00EB4990">
        <w:t xml:space="preserve"> </w:t>
      </w:r>
      <w:r w:rsidR="002468D1">
        <w:t>covariates (</w:t>
      </w:r>
      <w:r w:rsidR="00EB4990">
        <w:t>in</w:t>
      </w:r>
      <w:r>
        <w:t xml:space="preserve"> weeks</w:t>
      </w:r>
      <w:r w:rsidR="002468D1">
        <w:t>)</w:t>
      </w:r>
      <w:r w:rsidR="00EB4990">
        <w:t xml:space="preserve">. </w:t>
      </w:r>
      <w:r>
        <w:t>Child age at methylation sample</w:t>
      </w:r>
      <w:r w:rsidR="002468D1">
        <w:t xml:space="preserve"> and maternal age were</w:t>
      </w:r>
      <w:r w:rsidR="00EB4990">
        <w:t xml:space="preserve"> used</w:t>
      </w:r>
      <w:r>
        <w:t xml:space="preserve"> </w:t>
      </w:r>
      <w:r w:rsidR="00EB4990">
        <w:t xml:space="preserve">as </w:t>
      </w:r>
      <w:r>
        <w:t>continuous</w:t>
      </w:r>
      <w:r w:rsidR="002468D1">
        <w:t xml:space="preserve"> covariates</w:t>
      </w:r>
      <w:r w:rsidR="00EB4990">
        <w:t xml:space="preserve"> </w:t>
      </w:r>
      <w:r w:rsidR="002468D1">
        <w:t>(</w:t>
      </w:r>
      <w:r w:rsidR="00EB4990">
        <w:t xml:space="preserve">in </w:t>
      </w:r>
      <w:r>
        <w:t>years</w:t>
      </w:r>
      <w:r w:rsidR="002468D1">
        <w:t>)</w:t>
      </w:r>
      <w:r>
        <w:t>.</w:t>
      </w:r>
      <w:r w:rsidR="00EB4990">
        <w:t xml:space="preserve"> </w:t>
      </w:r>
      <w:r>
        <w:t>Parity</w:t>
      </w:r>
      <w:r w:rsidR="00EB4990">
        <w:t xml:space="preserve"> was</w:t>
      </w:r>
      <w:r>
        <w:t xml:space="preserve"> categori</w:t>
      </w:r>
      <w:r w:rsidR="00EB4990">
        <w:t>sed</w:t>
      </w:r>
      <w:r>
        <w:t xml:space="preserve"> in </w:t>
      </w:r>
      <w:r w:rsidR="00EB4990">
        <w:t>two</w:t>
      </w:r>
      <w:r>
        <w:t xml:space="preserve"> groups: 0 and &gt;= 1</w:t>
      </w:r>
      <w:r w:rsidR="00EB4990">
        <w:t>. M</w:t>
      </w:r>
      <w:r>
        <w:t>aternal education</w:t>
      </w:r>
      <w:r w:rsidR="00EB4990">
        <w:t xml:space="preserve"> was</w:t>
      </w:r>
      <w:r>
        <w:t xml:space="preserve"> categori</w:t>
      </w:r>
      <w:r w:rsidR="00EB4990">
        <w:t>s</w:t>
      </w:r>
      <w:r>
        <w:t xml:space="preserve">ed in </w:t>
      </w:r>
      <w:r w:rsidR="00EB4990">
        <w:t>three</w:t>
      </w:r>
      <w:r>
        <w:t xml:space="preserve"> groups: low (primary or less)</w:t>
      </w:r>
      <w:r w:rsidR="00EB4990">
        <w:t>,</w:t>
      </w:r>
      <w:r>
        <w:t xml:space="preserve"> medium (secondary)</w:t>
      </w:r>
      <w:r w:rsidR="00EB4990">
        <w:t xml:space="preserve"> and</w:t>
      </w:r>
      <w:r>
        <w:t xml:space="preserve"> high (university)</w:t>
      </w:r>
      <w:r w:rsidR="00EB4990">
        <w:t>. M</w:t>
      </w:r>
      <w:r>
        <w:t xml:space="preserve">aternal smoking </w:t>
      </w:r>
      <w:r w:rsidR="002468D1">
        <w:t xml:space="preserve">was </w:t>
      </w:r>
      <w:r>
        <w:t xml:space="preserve">defined in </w:t>
      </w:r>
      <w:r w:rsidR="00EB4990">
        <w:t>three</w:t>
      </w:r>
      <w:r>
        <w:t xml:space="preserve"> categories: </w:t>
      </w:r>
      <w:r w:rsidR="00EB4990">
        <w:t>n</w:t>
      </w:r>
      <w:r>
        <w:t>o smoking, stopped in early pregnancy</w:t>
      </w:r>
      <w:r w:rsidR="00EB4990">
        <w:t xml:space="preserve"> and</w:t>
      </w:r>
      <w:r>
        <w:t xml:space="preserve"> sustained smoking</w:t>
      </w:r>
      <w:r w:rsidR="00EB4990">
        <w:t xml:space="preserve">. </w:t>
      </w:r>
    </w:p>
    <w:p w14:paraId="2D16F7FF" w14:textId="77777777" w:rsidR="002468D1" w:rsidRPr="002468D1" w:rsidRDefault="002468D1" w:rsidP="00891860">
      <w:pPr>
        <w:pStyle w:val="Heading2"/>
      </w:pPr>
      <w:r w:rsidRPr="002468D1">
        <w:t>Acknowledgments</w:t>
      </w:r>
    </w:p>
    <w:p w14:paraId="31FE608C" w14:textId="738092AD" w:rsidR="00667E49" w:rsidRDefault="002468D1" w:rsidP="002468D1">
      <w:r>
        <w:t xml:space="preserve">INMA researchers would like to thank all the participants for their generous collaboration. A full roster of the INMA Project Investigators can be found at </w:t>
      </w:r>
      <w:hyperlink r:id="rId13" w:history="1">
        <w:r w:rsidRPr="00D53AE0">
          <w:rPr>
            <w:rStyle w:val="Hyperlink"/>
          </w:rPr>
          <w:t>http://www.proyectoinma.org/presentacioninma/listado-investigadores/en_listado-investigadores.html</w:t>
        </w:r>
      </w:hyperlink>
      <w:r>
        <w:t>.</w:t>
      </w:r>
      <w:r w:rsidR="00310856">
        <w:t xml:space="preserve"> </w:t>
      </w:r>
      <w:r>
        <w:t xml:space="preserve">Main funding of the epigenetic studies in INMA were grants from Instituto de </w:t>
      </w:r>
      <w:proofErr w:type="spellStart"/>
      <w:r>
        <w:t>Salud</w:t>
      </w:r>
      <w:proofErr w:type="spellEnd"/>
      <w:r>
        <w:t xml:space="preserve"> Carlos III (Red INMA G03/176, CB06/02/0041), Spanish Ministry of Health (FIS-PI04/1436, FIS-PI08/1151 including FEDER funds, FIS-PI11/00610, FIS-FEDER-PI06/0867, FIS-FEDER-PI03-1615, MS13/00054, CP18/00018) </w:t>
      </w:r>
      <w:proofErr w:type="spellStart"/>
      <w:r>
        <w:t>Generalitat</w:t>
      </w:r>
      <w:proofErr w:type="spellEnd"/>
      <w:r>
        <w:t xml:space="preserve"> de Catalunya-CIRIT 1999SGR 00241, </w:t>
      </w:r>
      <w:proofErr w:type="spellStart"/>
      <w:r>
        <w:t>Fundació</w:t>
      </w:r>
      <w:proofErr w:type="spellEnd"/>
      <w:r>
        <w:t xml:space="preserve"> La </w:t>
      </w:r>
      <w:proofErr w:type="spellStart"/>
      <w:r>
        <w:t>marató</w:t>
      </w:r>
      <w:proofErr w:type="spellEnd"/>
      <w:r>
        <w:t xml:space="preserve"> de TV3 (090430), EU Commission (261357-MeDALL: Mechanisms of the Development of </w:t>
      </w:r>
      <w:proofErr w:type="spellStart"/>
      <w:r>
        <w:t>ALLergy</w:t>
      </w:r>
      <w:proofErr w:type="spellEnd"/>
      <w:r>
        <w:t xml:space="preserve">), and European Research Council (268479-BREATHE: </w:t>
      </w:r>
      <w:proofErr w:type="spellStart"/>
      <w:r>
        <w:t>BRain</w:t>
      </w:r>
      <w:proofErr w:type="spellEnd"/>
      <w:r>
        <w:t xml:space="preserve"> </w:t>
      </w:r>
      <w:proofErr w:type="spellStart"/>
      <w:r>
        <w:t>dEvelopment</w:t>
      </w:r>
      <w:proofErr w:type="spellEnd"/>
      <w:r>
        <w:t xml:space="preserve"> and Air </w:t>
      </w:r>
      <w:proofErr w:type="spellStart"/>
      <w:r>
        <w:t>polluTion</w:t>
      </w:r>
      <w:proofErr w:type="spellEnd"/>
      <w:r>
        <w:t xml:space="preserve"> ultrafine particles in </w:t>
      </w:r>
      <w:proofErr w:type="spellStart"/>
      <w:r>
        <w:t>scHool</w:t>
      </w:r>
      <w:proofErr w:type="spellEnd"/>
      <w:r>
        <w:t xml:space="preserve"> </w:t>
      </w:r>
      <w:proofErr w:type="spellStart"/>
      <w:r>
        <w:t>childrEn</w:t>
      </w:r>
      <w:proofErr w:type="spellEnd"/>
      <w:r>
        <w:t>).</w:t>
      </w:r>
      <w:r w:rsidR="00667E49">
        <w:br w:type="page"/>
      </w:r>
    </w:p>
    <w:p w14:paraId="06CAAE42" w14:textId="77777777" w:rsidR="00503344" w:rsidRPr="00F774A6" w:rsidRDefault="00503344" w:rsidP="00CA7657">
      <w:pPr>
        <w:pStyle w:val="Heading1"/>
      </w:pPr>
      <w:r w:rsidRPr="00F774A6">
        <w:lastRenderedPageBreak/>
        <w:t>NFBC1986 – Northern Finland Birth Cohort 1986</w:t>
      </w:r>
    </w:p>
    <w:p w14:paraId="288BD3D3" w14:textId="40C6B444" w:rsidR="00D35B79" w:rsidRPr="00F774A6" w:rsidRDefault="00503344" w:rsidP="00CA7657">
      <w:r w:rsidRPr="00F774A6">
        <w:t xml:space="preserve">NFBC1986 is a longitudinal, population-based birth cohort comprising all births with an expected date of delivery between July 1, 1985 and June 30, 1986 in the Finnish provinces of Oulu and Lapland. </w:t>
      </w:r>
      <w:r w:rsidR="005B393E" w:rsidRPr="005B393E">
        <w:t>9,203</w:t>
      </w:r>
      <w:r w:rsidR="005B393E">
        <w:t xml:space="preserve"> </w:t>
      </w:r>
      <w:r w:rsidR="005B393E" w:rsidRPr="005B393E">
        <w:t>live-born individuals entered the study</w:t>
      </w:r>
      <w:r w:rsidR="00C7711A">
        <w:t xml:space="preserve"> </w:t>
      </w:r>
      <w:r w:rsidR="00C7711A">
        <w:fldChar w:fldCharType="begin" w:fldLock="1"/>
      </w:r>
      <w:r w:rsidR="002755CC">
        <w:instrText>ADDIN CSL_CITATION {"citationItems":[{"id":"ITEM-1","itemData":{"DOI":"10.1111/j.1471-0528.1993.tb12971.x","ISSN":"0306-5456 (Print)","PMID":"8494831","abstract":"OBJECTIVE: To examine indications for the induction of labour and variations in the current policy of induction at different levels of obstetric specialisation and to compare the outcome of induced and spontaneous labour. DESIGN: A prospective 1 year birth cohort. SETTING: Maternity hospitals in the two northernmost administrative provinces of Finland, including one university hospital and three central hospitals, three local hospitals and five health centres. SUBJECTS: Eight thousand six hundred and six singleton pregnancies, including 1679 with induced labour. MAIN OUTCOME MEASURE: Data collection on age, parity, social factors and education at antenatal clinic. Data on labour collected from the hospital records after delivery. RESULTS: Labour was induced significantly more often at units of the lowest level of specialisation, the health centres (29.4%) than at the local hospitals (23.6%, P &lt; 0.003) or in the most specialised central hospitals (17.7%, P &lt; 0.0001). Cases of induced labour accumulated on working days. Indicative reasons, such as maternal or fetal conditions, comprised 45.0% of the indications for induction, the most common causes being elective reasons, e.g. timing of labour (51.3%). The risk of elective induction was 2.6 times greater at the primary care level than at the central hospitals (95% confidence limit, CL 2.0-3.2). The corresponding risk ratio for local hospitals was 1.8 (CL 1.5-2.1). The risk of caesarean section was 1.5 times greater in the elective induction group than in the spontaneous group (CL 1.1-1.9) and 2.9 times greater in the indicative induction group. The most common indication for caesarean section was dysfunctional, arrested labour, causes such as fetal asphyxia or antenatal haemorrhage were not seen in excess. CONCLUSION: The practice of induction of labour are not consistent in different hospitals. The opinions of individual practitioners and staff routines influence the induction policy nearly as much as do medical reasons. Despite the safety of induction, a liberal induction policy leads to an increase in operative deliveries creating potential risks for the mother and child and greater expense.","author":[{"dropping-particle":"","family":"Jarvelin","given":"M R","non-dropping-particle":"","parse-names":false,"suffix":""},{"dropping-particle":"","family":"Hartikainen-Sorri","given":"A L","non-dropping-particle":"","parse-names":false,"suffix":""},{"dropping-particle":"","family":"Rantakallio","given":"P","non-dropping-particle":"","parse-names":false,"suffix":""}],"container-title":"British journal of obstetrics and gynaecology","id":"ITEM-1","issue":"4","issued":{"date-parts":[["1993","4"]]},"language":"eng","page":"310-315","publisher-place":"England","title":"Labour induction policy in hospitals of different levels of specialisation.","type":"article-journal","volume":"100"},"uris":["http://www.mendeley.com/documents/?uuid=2324c058-b3a3-4c76-b5b8-226f065662d2"]}],"mendeley":{"formattedCitation":"&lt;span style=\"baseline\"&gt;(29)&lt;/span&gt;","plainTextFormattedCitation":"(29)","previouslyFormattedCitation":"&lt;span style=\"baseline\"&gt;(28)&lt;/span&gt;"},"properties":{"noteIndex":0},"schema":"https://github.com/citation-style-language/schema/raw/master/csl-citation.json"}</w:instrText>
      </w:r>
      <w:r w:rsidR="00C7711A">
        <w:fldChar w:fldCharType="separate"/>
      </w:r>
      <w:r w:rsidR="002755CC" w:rsidRPr="002755CC">
        <w:rPr>
          <w:noProof/>
        </w:rPr>
        <w:t>(29)</w:t>
      </w:r>
      <w:r w:rsidR="00C7711A">
        <w:fldChar w:fldCharType="end"/>
      </w:r>
      <w:r w:rsidR="00DF2DF1">
        <w:t xml:space="preserve">. </w:t>
      </w:r>
      <w:r w:rsidR="00D35B79" w:rsidRPr="00F70F57">
        <w:rPr>
          <w:lang w:val="en-US"/>
        </w:rPr>
        <w:t>Approval for the studies was granted by the ethics committee of the Northern Ostrobothnia Hospital District in Oulu, Finland in accordance with the declaration of Helsinki.</w:t>
      </w:r>
    </w:p>
    <w:p w14:paraId="174A01D3" w14:textId="12E37724" w:rsidR="004730EF" w:rsidRDefault="00503344" w:rsidP="00CA7657">
      <w:pPr>
        <w:rPr>
          <w:rFonts w:cs="Times New Roman"/>
        </w:rPr>
      </w:pPr>
      <w:r w:rsidRPr="00F774A6">
        <w:t xml:space="preserve">Clinical examination of the offspring at the age of 16 years was conducted </w:t>
      </w:r>
      <w:r w:rsidR="00F774A6">
        <w:t xml:space="preserve">between April </w:t>
      </w:r>
      <w:r w:rsidRPr="00F774A6">
        <w:t>2001</w:t>
      </w:r>
      <w:r w:rsidR="00F774A6">
        <w:t xml:space="preserve"> and February </w:t>
      </w:r>
      <w:r w:rsidRPr="00F774A6">
        <w:t>200</w:t>
      </w:r>
      <w:r w:rsidR="00F774A6">
        <w:t>2</w:t>
      </w:r>
      <w:r w:rsidRPr="00F774A6">
        <w:t xml:space="preserve">. </w:t>
      </w:r>
      <w:r w:rsidR="009279B1" w:rsidRPr="00F774A6">
        <w:t xml:space="preserve">Offspring </w:t>
      </w:r>
      <w:r w:rsidRPr="00F774A6">
        <w:t>DNA methylation was assayed</w:t>
      </w:r>
      <w:r w:rsidR="00B35B16">
        <w:t xml:space="preserve"> </w:t>
      </w:r>
      <w:r w:rsidRPr="00F774A6">
        <w:t xml:space="preserve">using Infinium HumanMethylation450 </w:t>
      </w:r>
      <w:proofErr w:type="spellStart"/>
      <w:r w:rsidRPr="00F774A6">
        <w:t>BeadChip</w:t>
      </w:r>
      <w:proofErr w:type="spellEnd"/>
      <w:r w:rsidRPr="00F774A6">
        <w:t xml:space="preserve"> (Illumina, Inc., San Diego, CA, USA)</w:t>
      </w:r>
      <w:r w:rsidR="0068174B">
        <w:t xml:space="preserve"> </w:t>
      </w:r>
      <w:r w:rsidR="0068174B" w:rsidRPr="009B25E6">
        <w:rPr>
          <w:rFonts w:cs="Times New Roman"/>
        </w:rPr>
        <w:t>for 546 randomly selected subjects</w:t>
      </w:r>
      <w:r w:rsidRPr="00F774A6">
        <w:t>.</w:t>
      </w:r>
      <w:r w:rsidR="00B35B16">
        <w:t xml:space="preserve"> </w:t>
      </w:r>
      <w:r w:rsidR="00DF2DF1" w:rsidRPr="009B25E6">
        <w:rPr>
          <w:rFonts w:cs="Times New Roman"/>
        </w:rPr>
        <w:t>Bisulphite conversion of genomic DNA was performed using the EZ DNA methylation kit according to manufacturer's instructions (</w:t>
      </w:r>
      <w:proofErr w:type="spellStart"/>
      <w:r w:rsidR="00DF2DF1" w:rsidRPr="009B25E6">
        <w:rPr>
          <w:rFonts w:cs="Times New Roman"/>
        </w:rPr>
        <w:t>Zymo</w:t>
      </w:r>
      <w:proofErr w:type="spellEnd"/>
      <w:r w:rsidR="00DF2DF1" w:rsidRPr="009B25E6">
        <w:rPr>
          <w:rFonts w:cs="Times New Roman"/>
        </w:rPr>
        <w:t xml:space="preserve"> Research, Orange, CA).</w:t>
      </w:r>
      <w:r w:rsidR="00DF2DF1">
        <w:rPr>
          <w:rFonts w:cs="Times New Roman"/>
        </w:rPr>
        <w:t xml:space="preserve"> </w:t>
      </w:r>
      <w:r w:rsidR="0068174B">
        <w:t xml:space="preserve">From these, </w:t>
      </w:r>
      <w:r w:rsidR="0068174B" w:rsidRPr="009B25E6">
        <w:rPr>
          <w:rFonts w:cs="Times New Roman"/>
        </w:rPr>
        <w:t>24 technical replicates</w:t>
      </w:r>
      <w:r w:rsidR="0068174B">
        <w:rPr>
          <w:rFonts w:cs="Times New Roman"/>
        </w:rPr>
        <w:t xml:space="preserve">, </w:t>
      </w:r>
      <w:r w:rsidR="0068174B" w:rsidRPr="009B25E6">
        <w:rPr>
          <w:rFonts w:cs="Times New Roman"/>
        </w:rPr>
        <w:t>18 samples</w:t>
      </w:r>
      <w:r w:rsidR="0068174B">
        <w:rPr>
          <w:rFonts w:cs="Times New Roman"/>
        </w:rPr>
        <w:t xml:space="preserve"> that</w:t>
      </w:r>
      <w:r w:rsidR="0068174B" w:rsidRPr="009B25E6">
        <w:rPr>
          <w:rFonts w:cs="Times New Roman"/>
        </w:rPr>
        <w:t xml:space="preserve"> did not reach a call rate of &gt;95% applying a detection P-value filter of 10-16 </w:t>
      </w:r>
      <w:r w:rsidR="0068174B">
        <w:rPr>
          <w:rFonts w:cs="Times New Roman"/>
        </w:rPr>
        <w:t xml:space="preserve">and </w:t>
      </w:r>
      <w:r w:rsidR="0068174B" w:rsidRPr="009B25E6">
        <w:rPr>
          <w:rFonts w:cs="Times New Roman"/>
        </w:rPr>
        <w:t>7 samples with gender inconsistency</w:t>
      </w:r>
      <w:r w:rsidR="0068174B">
        <w:t xml:space="preserve"> were excluded. </w:t>
      </w:r>
      <w:r w:rsidR="0068174B" w:rsidRPr="009B25E6">
        <w:rPr>
          <w:rFonts w:cs="Times New Roman"/>
        </w:rPr>
        <w:t>DNA methylation data of 517 samples</w:t>
      </w:r>
      <w:r w:rsidR="0068174B">
        <w:t xml:space="preserve"> were used in the analysis</w:t>
      </w:r>
      <w:r w:rsidR="00DF2DF1">
        <w:t xml:space="preserve">. </w:t>
      </w:r>
      <w:r w:rsidR="00DF2DF1" w:rsidRPr="009B25E6">
        <w:rPr>
          <w:rFonts w:cs="Times New Roman"/>
        </w:rPr>
        <w:t>Potential confounding effects of blood cell subtypes were estimated by the Houseman method</w:t>
      </w:r>
      <w:r w:rsidR="00C7711A">
        <w:rPr>
          <w:rFonts w:cs="Times New Roman"/>
        </w:rPr>
        <w:t xml:space="preserve"> </w:t>
      </w:r>
      <w:r w:rsidR="00C7711A">
        <w:rPr>
          <w:rFonts w:cs="Times New Roman"/>
        </w:rPr>
        <w:fldChar w:fldCharType="begin" w:fldLock="1"/>
      </w:r>
      <w:r w:rsidR="00C7711A">
        <w:rPr>
          <w:rFonts w:cs="Times New Roman"/>
        </w:rPr>
        <w:instrText>ADDIN CSL_CITATION {"citationItems":[{"id":"ITEM-1","itemData":{"DOI":"10.1186/1471-2105-13-86","ISSN":"1471-2105 (Electronic)","PMID":"22568884","abstract":"BACKGROUND: There has been a long-standing need in biomedical research for a method that quantifies the normally mixed composition of leukocytes beyond what is possible by simple histological or flow cytometric assessments. The latter is restricted by the labile nature of protein epitopes, requirements for cell processing, and timely cell analysis. In a diverse array of diseases and following numerous immune-toxic exposures, leukocyte composition will critically inform the underlying immuno-biology to most chronic medical conditions. Emerging research demonstrates that DNA methylation is responsible for cellular differentiation, and when measured in whole peripheral blood, serves to distinguish cancer cases from controls. RESULTS: Here we present a method, similar to regression calibration, for inferring changes in the distribution of white blood cells between different subpopulations (e.g. cases and controls) using DNA methylation signatures, in combination with a previously obtained external validation set consisting of signatures from purified leukocyte samples. We validate the fundamental idea in a cell mixture reconstruction experiment, then demonstrate our method on DNA methylation data sets from several studies, including data from a Head and Neck Squamous Cell Carcinoma (HNSCC) study and an ovarian cancer study. Our method produces results consistent with prior biological findings, thereby validating the approach. CONCLUSIONS: Our method, in combination with an appropriate external validation set, promises new opportunities for large-scale immunological studies of both disease states and noxious exposures.","author":[{"dropping-particle":"","family":"Houseman","given":"Eugene Andres","non-dropping-particle":"","parse-names":false,"suffix":""},{"dropping-particle":"","family":"Accomando","given":"William P","non-dropping-particle":"","parse-names":false,"suffix":""},{"dropping-particle":"","family":"Koestler","given":"Devin C","non-dropping-particle":"","parse-names":false,"suffix":""},{"dropping-particle":"","family":"Christensen","given":"Brock C","non-dropping-particle":"","parse-names":false,"suffix":""},{"dropping-particle":"","family":"Marsit","given":"Carmen J","non-dropping-particle":"","parse-names":false,"suffix":""},{"dropping-particle":"","family":"Nelson","given":"Heather H","non-dropping-particle":"","parse-names":false,"suffix":""},{"dropping-particle":"","family":"Wiencke","given":"John K","non-dropping-particle":"","parse-names":false,"suffix":""},{"dropping-particle":"","family":"Kelsey","given":"Karl T","non-dropping-particle":"","parse-names":false,"suffix":""}],"container-title":"BMC bioinformatics","id":"ITEM-1","issued":{"date-parts":[["2012","5"]]},"language":"eng","page":"86","publisher-place":"England","title":"DNA methylation arrays as surrogate measures of cell mixture distribution.","type":"article-journal","volume":"13"},"uris":["http://www.mendeley.com/documents/?uuid=a5f6c561-68a0-43ec-96fd-9ade37c06c37"]}],"mendeley":{"formattedCitation":"&lt;span style=\"baseline\"&gt;(10)&lt;/span&gt;","plainTextFormattedCitation":"(10)","previouslyFormattedCitation":"&lt;span style=\"baseline\"&gt;(10)&lt;/span&gt;"},"properties":{"noteIndex":0},"schema":"https://github.com/citation-style-language/schema/raw/master/csl-citation.json"}</w:instrText>
      </w:r>
      <w:r w:rsidR="00C7711A">
        <w:rPr>
          <w:rFonts w:cs="Times New Roman"/>
        </w:rPr>
        <w:fldChar w:fldCharType="separate"/>
      </w:r>
      <w:r w:rsidR="00C7711A" w:rsidRPr="00C7711A">
        <w:rPr>
          <w:rFonts w:cs="Times New Roman"/>
          <w:noProof/>
        </w:rPr>
        <w:t>(10)</w:t>
      </w:r>
      <w:r w:rsidR="00C7711A">
        <w:rPr>
          <w:rFonts w:cs="Times New Roman"/>
        </w:rPr>
        <w:fldChar w:fldCharType="end"/>
      </w:r>
      <w:r w:rsidR="00DF2DF1" w:rsidRPr="009B25E6">
        <w:rPr>
          <w:rFonts w:cs="Times New Roman"/>
        </w:rPr>
        <w:t>.</w:t>
      </w:r>
      <w:r w:rsidR="004730EF">
        <w:rPr>
          <w:rFonts w:cs="Times New Roman"/>
        </w:rPr>
        <w:t xml:space="preserve"> </w:t>
      </w:r>
    </w:p>
    <w:p w14:paraId="21B440F3" w14:textId="30624914" w:rsidR="00DA0CBD" w:rsidRDefault="004730EF" w:rsidP="00CA7657">
      <w:r>
        <w:t>For whole study population, g</w:t>
      </w:r>
      <w:r w:rsidRPr="004730EF">
        <w:t>estational age was confirmed by ultrasound for 3699 subjects (40.1%)</w:t>
      </w:r>
      <w:r>
        <w:t xml:space="preserve">, </w:t>
      </w:r>
      <w:r w:rsidRPr="004730EF">
        <w:t>estimated based on last menstrual period for 5358 subjects (58.1%) and estimated based on the length of gestation recorded at hospital records (with no data available to indicate whether this was based on ultrasound or last menstrual period) for 154 (1.7%)</w:t>
      </w:r>
      <w:r w:rsidR="00C7711A">
        <w:t xml:space="preserve"> </w:t>
      </w:r>
      <w:r w:rsidR="00C7711A">
        <w:fldChar w:fldCharType="begin" w:fldLock="1"/>
      </w:r>
      <w:r w:rsidR="002755CC">
        <w:instrText>ADDIN CSL_CITATION {"citationItems":[{"id":"ITEM-1","itemData":{"DOI":"10.1542/peds.2013-4186","ISSN":"1098-4275 (Electronic)","PMID":"25180275","abstract":"BACKGROUND: Adolescents and adults born as small preterm infants show more pronounced risk factors of cardiovascular disease. Whether similar risks apply across all degrees of preterm birth is poorly known. METHODS: We studied the association between preterm birth and cardiovascular risk factors in 6642 16-year-old adolescents of the population-based Northern Finland Birth Cohort 1986. Of these, 79 (1.2%) were born at &lt;34 gestational weeks (early preterm), 238 (3.6%) at 34 to 36 weeks (late preterm), and 6325 at term (controls). RESULTS: Girls born early preterm had 6.7 mm Hg (95% confidence interval: 3.1-10.2) higher systolic blood pressure (BP) and 3.5 mm Hg (1.1-5.8) higher diastolic BP, but no difference in serum lipid levels compared with control girls. Boys showed no differences in BP, but boys born early preterm had 6.7% (0.2%-13.7%) higher total cholesterol, 11.7% (2.1%-22.3%) higher low-density lipoprotein cholesterol, and 12.3% (3.1%-22.4%) higher apolipoprotein B concentrations. The differences were similar (BP) or stronger (lipids) when adjusted for maternal smoking, birth weight SD score, parental education, pubertal stage, BMI, and lifestyle. There were similar associations with length of gestation as a continuous variable. Accordingly, mean differences between late preterm and controls were in the same direction but weaker, although most were not statistically significant. CONCLUSIONS: Preterm birth was associated with elevated BP in adolescent girls and an atherogenic lipid profile in boys. Because these associations were strongest among those born early preterm, our findings are consistent with a dose-response relationship between shorter length of gestation and cardiovascular risk factors.","author":[{"dropping-particle":"","family":"Sipola-Leppanen","given":"Marika","non-dropping-particle":"","parse-names":false,"suffix":""},{"dropping-particle":"","family":"Vaarasmaki","given":"Marja","non-dropping-particle":"","parse-names":false,"suffix":""},{"dropping-particle":"","family":"Tikanmaki","given":"Marjaana","non-dropping-particle":"","parse-names":false,"suffix":""},{"dropping-particle":"","family":"Hovi","given":"Petteri","non-dropping-particle":"","parse-names":false,"suffix":""},{"dropping-particle":"","family":"Miettola","given":"Satu","non-dropping-particle":"","parse-names":false,"suffix":""},{"dropping-particle":"","family":"Ruokonen","given":"Aimo","non-dropping-particle":"","parse-names":false,"suffix":""},{"dropping-particle":"","family":"Pouta","given":"Anneli","non-dropping-particle":"","parse-names":false,"suffix":""},{"dropping-particle":"","family":"Jarvelin","given":"Marjo-Riitta","non-dropping-particle":"","parse-names":false,"suffix":""},{"dropping-particle":"","family":"Kajantie","given":"Eero","non-dropping-particle":"","parse-names":false,"suffix":""}],"container-title":"Pediatrics","id":"ITEM-1","issue":"4","issued":{"date-parts":[["2014","10"]]},"language":"eng","page":"e1072-81","publisher-place":"United States","title":"Cardiovascular risk factors in adolescents born preterm.","type":"article-journal","volume":"134"},"uris":["http://www.mendeley.com/documents/?uuid=f65af46e-04d8-4f0e-86b5-a126898d8d8b"]}],"mendeley":{"formattedCitation":"&lt;span style=\"baseline\"&gt;(30)&lt;/span&gt;","plainTextFormattedCitation":"(30)","previouslyFormattedCitation":"&lt;span style=\"baseline\"&gt;(29)&lt;/span&gt;"},"properties":{"noteIndex":0},"schema":"https://github.com/citation-style-language/schema/raw/master/csl-citation.json"}</w:instrText>
      </w:r>
      <w:r w:rsidR="00C7711A">
        <w:fldChar w:fldCharType="separate"/>
      </w:r>
      <w:r w:rsidR="002755CC" w:rsidRPr="002755CC">
        <w:rPr>
          <w:noProof/>
        </w:rPr>
        <w:t>(30)</w:t>
      </w:r>
      <w:r w:rsidR="00C7711A">
        <w:fldChar w:fldCharType="end"/>
      </w:r>
      <w:r w:rsidRPr="004730EF">
        <w:t>.</w:t>
      </w:r>
      <w:r>
        <w:t xml:space="preserve"> </w:t>
      </w:r>
      <w:r w:rsidR="00D35B79">
        <w:t>Child’s age at methylation measurement was recorded on questionnaires. Maternal age, parity, maternal education and maternal smoking during pregnancy was obtained from the questionnaires administered to the mothers during pregnancy. Maternal smoking was</w:t>
      </w:r>
      <w:r w:rsidR="00503344" w:rsidRPr="00F774A6">
        <w:t xml:space="preserve"> </w:t>
      </w:r>
      <w:r w:rsidR="00B35B16">
        <w:t>categorised as</w:t>
      </w:r>
      <w:r w:rsidR="00503344" w:rsidRPr="00F774A6">
        <w:t xml:space="preserve">: </w:t>
      </w:r>
      <w:r w:rsidR="00B35B16">
        <w:t>n</w:t>
      </w:r>
      <w:r w:rsidR="00503344" w:rsidRPr="00F774A6">
        <w:t>o</w:t>
      </w:r>
      <w:r w:rsidR="00B35B16">
        <w:t>t</w:t>
      </w:r>
      <w:r w:rsidR="00503344" w:rsidRPr="00F774A6">
        <w:t xml:space="preserve"> smok</w:t>
      </w:r>
      <w:r w:rsidR="00B35B16">
        <w:t>ed</w:t>
      </w:r>
      <w:r w:rsidR="00503344" w:rsidRPr="00F774A6">
        <w:t xml:space="preserve"> during pregnancy</w:t>
      </w:r>
      <w:r w:rsidR="00B35B16">
        <w:t xml:space="preserve"> (reference)</w:t>
      </w:r>
      <w:r w:rsidR="00503344" w:rsidRPr="00F774A6">
        <w:t>,</w:t>
      </w:r>
      <w:r w:rsidR="00B35B16">
        <w:t xml:space="preserve"> s</w:t>
      </w:r>
      <w:r w:rsidR="00503344" w:rsidRPr="00F774A6">
        <w:t>mok</w:t>
      </w:r>
      <w:r w:rsidR="00B35B16">
        <w:t>ed</w:t>
      </w:r>
      <w:r w:rsidR="00503344" w:rsidRPr="00F774A6">
        <w:t>, but not after second month of pregnancy</w:t>
      </w:r>
      <w:r w:rsidR="00B35B16">
        <w:t xml:space="preserve"> and s</w:t>
      </w:r>
      <w:r w:rsidR="00503344" w:rsidRPr="00F774A6">
        <w:t>m</w:t>
      </w:r>
      <w:r w:rsidR="00B35B16">
        <w:t>oked</w:t>
      </w:r>
      <w:r w:rsidR="00503344" w:rsidRPr="00F774A6">
        <w:t xml:space="preserve"> </w:t>
      </w:r>
      <w:r w:rsidR="00B35B16">
        <w:t>after second month of</w:t>
      </w:r>
      <w:r w:rsidR="00503344" w:rsidRPr="00F774A6">
        <w:t xml:space="preserve"> pregnancy. Maternal socioeconomic status was </w:t>
      </w:r>
      <w:r w:rsidR="00B35B16">
        <w:t xml:space="preserve">categorised </w:t>
      </w:r>
      <w:r w:rsidR="00503344" w:rsidRPr="00F774A6">
        <w:t xml:space="preserve">into four groups: </w:t>
      </w:r>
      <w:r w:rsidR="00B35B16">
        <w:t>p</w:t>
      </w:r>
      <w:r w:rsidR="00503344" w:rsidRPr="00F774A6">
        <w:t>rofessionals</w:t>
      </w:r>
      <w:r w:rsidR="00B35B16">
        <w:t xml:space="preserve"> (reference)</w:t>
      </w:r>
      <w:r w:rsidR="00503344" w:rsidRPr="00F774A6">
        <w:t xml:space="preserve">, </w:t>
      </w:r>
      <w:r w:rsidR="00B35B16">
        <w:t>s</w:t>
      </w:r>
      <w:r w:rsidR="00503344" w:rsidRPr="00F774A6">
        <w:t xml:space="preserve">killed workers, </w:t>
      </w:r>
      <w:r w:rsidR="00B35B16">
        <w:t>u</w:t>
      </w:r>
      <w:r w:rsidR="00503344" w:rsidRPr="00F774A6">
        <w:t>nskilled workers</w:t>
      </w:r>
      <w:r w:rsidR="00B35B16">
        <w:t xml:space="preserve"> and housewives, farmers and f</w:t>
      </w:r>
      <w:r w:rsidR="00503344" w:rsidRPr="00F774A6">
        <w:t>armer</w:t>
      </w:r>
      <w:r w:rsidR="00B35B16">
        <w:t>’</w:t>
      </w:r>
      <w:r w:rsidR="00503344" w:rsidRPr="00F774A6">
        <w:t>s</w:t>
      </w:r>
      <w:r w:rsidR="00B35B16">
        <w:t xml:space="preserve"> wives</w:t>
      </w:r>
      <w:r w:rsidR="00503344" w:rsidRPr="00F774A6">
        <w:t>.</w:t>
      </w:r>
    </w:p>
    <w:p w14:paraId="0D34A9A9" w14:textId="5265AD40" w:rsidR="00503344" w:rsidRDefault="00B35B16" w:rsidP="00CA7657">
      <w:r>
        <w:t xml:space="preserve"> </w:t>
      </w:r>
    </w:p>
    <w:p w14:paraId="77385B4F" w14:textId="16C3971D" w:rsidR="00DA0CBD" w:rsidRDefault="00DA0CBD" w:rsidP="00DA0CBD">
      <w:pPr>
        <w:pStyle w:val="Heading2"/>
      </w:pPr>
      <w:r>
        <w:lastRenderedPageBreak/>
        <w:t>Acknowledgements</w:t>
      </w:r>
    </w:p>
    <w:p w14:paraId="385D801A" w14:textId="1A374067" w:rsidR="00667E49" w:rsidRDefault="00DA0CBD" w:rsidP="00CA7657">
      <w:r>
        <w:t xml:space="preserve">We thank all cohort members and researchers who have participated in the study. We also acknowledge the work of the NFBC project </w:t>
      </w:r>
      <w:proofErr w:type="spellStart"/>
      <w:r>
        <w:t>center</w:t>
      </w:r>
      <w:proofErr w:type="spellEnd"/>
      <w:r>
        <w:t xml:space="preserve">. NFBC1986 was funded by EU QLG1-CT-2000-01643 (EUROBLCS) Grant no. E51560, </w:t>
      </w:r>
      <w:proofErr w:type="spellStart"/>
      <w:r>
        <w:t>NorFA</w:t>
      </w:r>
      <w:proofErr w:type="spellEnd"/>
      <w:r>
        <w:t xml:space="preserve"> Grant no. 731, 20056, 30167, USA / NIHH 2000 G DF682 Grant no. 50945. </w:t>
      </w:r>
      <w:r w:rsidRPr="006D2561">
        <w:rPr>
          <w:lang w:val="en-US"/>
        </w:rPr>
        <w:t>This</w:t>
      </w:r>
      <w:r>
        <w:rPr>
          <w:lang w:val="en-US"/>
        </w:rPr>
        <w:t xml:space="preserve"> study</w:t>
      </w:r>
      <w:r w:rsidRPr="006D2561">
        <w:rPr>
          <w:lang w:val="en-US"/>
        </w:rPr>
        <w:t xml:space="preserve"> was supported by the European Union's Horizon 2020 research and innovation program under grant agreement No. 633595 (</w:t>
      </w:r>
      <w:proofErr w:type="spellStart"/>
      <w:r w:rsidRPr="006D2561">
        <w:rPr>
          <w:lang w:val="en-US"/>
        </w:rPr>
        <w:t>DynaHEALTH</w:t>
      </w:r>
      <w:proofErr w:type="spellEnd"/>
      <w:r w:rsidRPr="006D2561">
        <w:rPr>
          <w:lang w:val="en-US"/>
        </w:rPr>
        <w:t>), and grant agreement No.733206 (</w:t>
      </w:r>
      <w:proofErr w:type="spellStart"/>
      <w:r w:rsidRPr="006D2561">
        <w:rPr>
          <w:lang w:val="en-US"/>
        </w:rPr>
        <w:t>LifeCycle</w:t>
      </w:r>
      <w:proofErr w:type="spellEnd"/>
      <w:r w:rsidRPr="006D2561">
        <w:rPr>
          <w:lang w:val="en-US"/>
        </w:rPr>
        <w:t xml:space="preserve">); the academy of Finland EGEA-project (285547) and the </w:t>
      </w:r>
      <w:proofErr w:type="spellStart"/>
      <w:r w:rsidRPr="006D2561">
        <w:rPr>
          <w:lang w:val="en-US"/>
        </w:rPr>
        <w:t>Biocenter</w:t>
      </w:r>
      <w:proofErr w:type="spellEnd"/>
      <w:r w:rsidRPr="006D2561">
        <w:rPr>
          <w:lang w:val="en-US"/>
        </w:rPr>
        <w:t xml:space="preserve"> Oulu.</w:t>
      </w:r>
      <w:r w:rsidR="00667E49">
        <w:br w:type="page"/>
      </w:r>
    </w:p>
    <w:p w14:paraId="760838C3" w14:textId="77777777" w:rsidR="00503344" w:rsidRPr="00F774A6" w:rsidRDefault="00503344" w:rsidP="00CA7657">
      <w:pPr>
        <w:pStyle w:val="Heading1"/>
      </w:pPr>
      <w:r w:rsidRPr="00F774A6">
        <w:lastRenderedPageBreak/>
        <w:t>POGO – Postpartum Outcomes in Women with Gestational Diabetes and their Offspring</w:t>
      </w:r>
    </w:p>
    <w:p w14:paraId="34769072" w14:textId="77777777" w:rsidR="00503344" w:rsidRPr="007C69F0" w:rsidRDefault="007C69F0" w:rsidP="007C69F0">
      <w:r w:rsidRPr="007C69F0">
        <w:t xml:space="preserve">The POGO study invited women who were screened for </w:t>
      </w:r>
      <w:r>
        <w:t>gestational diabetes mellitus (</w:t>
      </w:r>
      <w:r w:rsidRPr="007C69F0">
        <w:t>GDM</w:t>
      </w:r>
      <w:r>
        <w:t>)</w:t>
      </w:r>
      <w:r w:rsidRPr="007C69F0">
        <w:t xml:space="preserve"> in the </w:t>
      </w:r>
      <w:proofErr w:type="spellStart"/>
      <w:r w:rsidRPr="007C69F0">
        <w:t>Klinikum</w:t>
      </w:r>
      <w:proofErr w:type="spellEnd"/>
      <w:r w:rsidRPr="007C69F0">
        <w:t xml:space="preserve"> Schwabing, a former outpatient clinic in Munich, Germany, during at least one pregnancy between 1998 and 2009.  Women who were diagnosed with GDM according to the Guidelines of the German Diabetes Association received dietary counselling and treatment of GDM (diet or insulin) with repeated follow-up visits until delivery. Measurements of Hb were performed during the GDM screening visit. These mothers and their offspring were invited for a single clinical visit at the clinical study centre of the Institute of Diabetes Research, Germany, between 2011 and 2015. In total, 155 mother-offspring pairs participated in the POGO study with collection of intensive biological and other data. The children's age at the time point of data collection ranged between 1 and 17 years.  The POGO study was approved by the Ethical Committee of the </w:t>
      </w:r>
      <w:proofErr w:type="spellStart"/>
      <w:r w:rsidRPr="007C69F0">
        <w:t>Technische</w:t>
      </w:r>
      <w:proofErr w:type="spellEnd"/>
      <w:r w:rsidRPr="007C69F0">
        <w:t xml:space="preserve"> Universität München (No. 2937).</w:t>
      </w:r>
    </w:p>
    <w:p w14:paraId="439025C7" w14:textId="0BDBB34C" w:rsidR="00332889" w:rsidRPr="007C69F0" w:rsidRDefault="007C69F0" w:rsidP="007C69F0">
      <w:r w:rsidRPr="007C69F0">
        <w:t xml:space="preserve">DNA </w:t>
      </w:r>
      <w:r>
        <w:t xml:space="preserve">was </w:t>
      </w:r>
      <w:r w:rsidRPr="007C69F0">
        <w:t>extracted (using the salting-out method) from whole blood samples taken during the follow-up screening several years after birth. 500 ng DNA per sample underwent bisulphite conversion using the EZ-96 DNA Methylation kit (Shallow) (</w:t>
      </w:r>
      <w:proofErr w:type="spellStart"/>
      <w:r w:rsidRPr="007C69F0">
        <w:t>Zymo</w:t>
      </w:r>
      <w:proofErr w:type="spellEnd"/>
      <w:r w:rsidRPr="007C69F0">
        <w:t xml:space="preserve"> Research Corporation, Irvine, USA). Samples were randomized to be plated onto 96-well plates. Samples were processed with the Illumina Infinium Methylation EPIC </w:t>
      </w:r>
      <w:proofErr w:type="spellStart"/>
      <w:r w:rsidRPr="007C69F0">
        <w:t>BeadChip</w:t>
      </w:r>
      <w:proofErr w:type="spellEnd"/>
      <w:r w:rsidRPr="007C69F0">
        <w:t xml:space="preserve"> (Illumina Inc., San Diego, USA). Potential confounding effects of blood cell subtypes were estimated by the Houseman method</w:t>
      </w:r>
      <w:r w:rsidR="00C7711A">
        <w:t xml:space="preserve"> </w:t>
      </w:r>
      <w:r w:rsidR="00C7711A">
        <w:fldChar w:fldCharType="begin" w:fldLock="1"/>
      </w:r>
      <w:r w:rsidR="00C7711A">
        <w:instrText>ADDIN CSL_CITATION {"citationItems":[{"id":"ITEM-1","itemData":{"DOI":"10.1186/1471-2105-13-86","ISSN":"1471-2105 (Electronic)","PMID":"22568884","abstract":"BACKGROUND: There has been a long-standing need in biomedical research for a method that quantifies the normally mixed composition of leukocytes beyond what is possible by simple histological or flow cytometric assessments. The latter is restricted by the labile nature of protein epitopes, requirements for cell processing, and timely cell analysis. In a diverse array of diseases and following numerous immune-toxic exposures, leukocyte composition will critically inform the underlying immuno-biology to most chronic medical conditions. Emerging research demonstrates that DNA methylation is responsible for cellular differentiation, and when measured in whole peripheral blood, serves to distinguish cancer cases from controls. RESULTS: Here we present a method, similar to regression calibration, for inferring changes in the distribution of white blood cells between different subpopulations (e.g. cases and controls) using DNA methylation signatures, in combination with a previously obtained external validation set consisting of signatures from purified leukocyte samples. We validate the fundamental idea in a cell mixture reconstruction experiment, then demonstrate our method on DNA methylation data sets from several studies, including data from a Head and Neck Squamous Cell Carcinoma (HNSCC) study and an ovarian cancer study. Our method produces results consistent with prior biological findings, thereby validating the approach. CONCLUSIONS: Our method, in combination with an appropriate external validation set, promises new opportunities for large-scale immunological studies of both disease states and noxious exposures.","author":[{"dropping-particle":"","family":"Houseman","given":"Eugene Andres","non-dropping-particle":"","parse-names":false,"suffix":""},{"dropping-particle":"","family":"Accomando","given":"William P","non-dropping-particle":"","parse-names":false,"suffix":""},{"dropping-particle":"","family":"Koestler","given":"Devin C","non-dropping-particle":"","parse-names":false,"suffix":""},{"dropping-particle":"","family":"Christensen","given":"Brock C","non-dropping-particle":"","parse-names":false,"suffix":""},{"dropping-particle":"","family":"Marsit","given":"Carmen J","non-dropping-particle":"","parse-names":false,"suffix":""},{"dropping-particle":"","family":"Nelson","given":"Heather H","non-dropping-particle":"","parse-names":false,"suffix":""},{"dropping-particle":"","family":"Wiencke","given":"John K","non-dropping-particle":"","parse-names":false,"suffix":""},{"dropping-particle":"","family":"Kelsey","given":"Karl T","non-dropping-particle":"","parse-names":false,"suffix":""}],"container-title":"BMC bioinformatics","id":"ITEM-1","issued":{"date-parts":[["2012","5"]]},"language":"eng","page":"86","publisher-place":"England","title":"DNA methylation arrays as surrogate measures of cell mixture distribution.","type":"article-journal","volume":"13"},"uris":["http://www.mendeley.com/documents/?uuid=a5f6c561-68a0-43ec-96fd-9ade37c06c37"]}],"mendeley":{"formattedCitation":"&lt;span style=\"baseline\"&gt;(10)&lt;/span&gt;","plainTextFormattedCitation":"(10)","previouslyFormattedCitation":"&lt;span style=\"baseline\"&gt;(10)&lt;/span&gt;"},"properties":{"noteIndex":0},"schema":"https://github.com/citation-style-language/schema/raw/master/csl-citation.json"}</w:instrText>
      </w:r>
      <w:r w:rsidR="00C7711A">
        <w:fldChar w:fldCharType="separate"/>
      </w:r>
      <w:r w:rsidR="00C7711A" w:rsidRPr="00C7711A">
        <w:rPr>
          <w:noProof/>
        </w:rPr>
        <w:t>(10)</w:t>
      </w:r>
      <w:r w:rsidR="00C7711A">
        <w:fldChar w:fldCharType="end"/>
      </w:r>
      <w:r w:rsidRPr="007C69F0">
        <w:t>.</w:t>
      </w:r>
    </w:p>
    <w:p w14:paraId="0C061E42" w14:textId="77777777" w:rsidR="00667E49" w:rsidRDefault="007C69F0" w:rsidP="007C69F0">
      <w:r w:rsidRPr="007C69F0">
        <w:t>Information on gestational age was collected from hospital records. Information on maternal age, parity, maternal education and maternal smoking during pregnancy were collected by interview during the postpartum screening visit at our study centre. Maternal smoking during pregnancy was categorised as yes or no. Maternal socioeconomic status was categorised as highest educational level the mother obtained until the clinical visit (including none, secondary school, high-school, vocational education, graduation from university).</w:t>
      </w:r>
      <w:r w:rsidR="00667E49">
        <w:br w:type="page"/>
      </w:r>
    </w:p>
    <w:p w14:paraId="61C39115" w14:textId="77777777" w:rsidR="00503344" w:rsidRPr="00F774A6" w:rsidRDefault="00503344" w:rsidP="00CA7657">
      <w:pPr>
        <w:pStyle w:val="Heading1"/>
      </w:pPr>
      <w:r w:rsidRPr="00F774A6">
        <w:lastRenderedPageBreak/>
        <w:t>PREDO – Prediction and Prevention of Preeclampsia and Intrauterine Growth Restriction Study</w:t>
      </w:r>
    </w:p>
    <w:p w14:paraId="26A1BAEE" w14:textId="208761B4" w:rsidR="00503344" w:rsidRDefault="00E11235" w:rsidP="00CA7657">
      <w:r>
        <w:t>PREDO</w:t>
      </w:r>
      <w:r w:rsidRPr="00E11235">
        <w:t xml:space="preserve"> is a longitudinal multicentre pregnancy cohort study of Finnish women and their singleton children born alive between 2006-2010</w:t>
      </w:r>
      <w:r w:rsidR="00C7711A">
        <w:t xml:space="preserve"> </w:t>
      </w:r>
      <w:r w:rsidR="00C7711A">
        <w:fldChar w:fldCharType="begin" w:fldLock="1"/>
      </w:r>
      <w:r w:rsidR="002755CC">
        <w:instrText>ADDIN CSL_CITATION {"citationItems":[{"id":"ITEM-1","itemData":{"DOI":"10.1093/ije/dyw154","ISSN":"1464-3685 (Electronic)","PMID":"27639277","author":[{"dropping-particle":"","family":"Girchenko","given":"Polina","non-dropping-particle":"","parse-names":false,"suffix":""},{"dropping-particle":"","family":"Lahti","given":"Marius","non-dropping-particle":"","parse-names":false,"suffix":""},{"dropping-particle":"","family":"Tuovinen","given":"Soile","non-dropping-particle":"","parse-names":false,"suffix":""},{"dropping-particle":"","family":"Savolainen","given":"Katri","non-dropping-particle":"","parse-names":false,"suffix":""},{"dropping-particle":"","family":"Lahti","given":"Jari","non-dropping-particle":"","parse-names":false,"suffix":""},{"dropping-particle":"","family":"Binder","given":"Elisabeth B","non-dropping-particle":"","parse-names":false,"suffix":""},{"dropping-particle":"","family":"Reynolds","given":"Rebecca M","non-dropping-particle":"","parse-names":false,"suffix":""},{"dropping-particle":"","family":"Entringer","given":"Sonja","non-dropping-particle":"","parse-names":false,"suffix":""},{"dropping-particle":"","family":"Buss","given":"Claudia","non-dropping-particle":"","parse-names":false,"suffix":""},{"dropping-particle":"","family":"Wadhwa","given":"Pathik D","non-dropping-particle":"","parse-names":false,"suffix":""},{"dropping-particle":"","family":"Hamalainen","given":"Esa","non-dropping-particle":"","parse-names":false,"suffix":""},{"dropping-particle":"","family":"Kajantie","given":"Eero","non-dropping-particle":"","parse-names":false,"suffix":""},{"dropping-particle":"","family":"Pesonen","given":"Anu-Katriina","non-dropping-particle":"","parse-names":false,"suffix":""},{"dropping-particle":"","family":"Villa","given":"Pia M","non-dropping-particle":"","parse-names":false,"suffix":""},{"dropping-particle":"","family":"Laivuori","given":"Hannele","non-dropping-particle":"","parse-names":false,"suffix":""},{"dropping-particle":"","family":"Raikkonen","given":"Katri","non-dropping-particle":"","parse-names":false,"suffix":""}],"container-title":"International journal of epidemiology","id":"ITEM-1","issue":"5","issued":{"date-parts":[["2017","10"]]},"language":"eng","page":"1380-1381g","publisher-place":"England","title":"Cohort Profile: Prediction and prevention of preeclampsia and intrauterine growth restriction (PREDO) study.","type":"article-journal","volume":"46"},"uris":["http://www.mendeley.com/documents/?uuid=fa0fa159-973a-4634-99aa-93db58af8412"]}],"mendeley":{"formattedCitation":"&lt;span style=\"baseline\"&gt;(31)&lt;/span&gt;","plainTextFormattedCitation":"(31)","previouslyFormattedCitation":"&lt;span style=\"baseline\"&gt;(30)&lt;/span&gt;"},"properties":{"noteIndex":0},"schema":"https://github.com/citation-style-language/schema/raw/master/csl-citation.json"}</w:instrText>
      </w:r>
      <w:r w:rsidR="00C7711A">
        <w:fldChar w:fldCharType="separate"/>
      </w:r>
      <w:r w:rsidR="002755CC" w:rsidRPr="002755CC">
        <w:rPr>
          <w:noProof/>
        </w:rPr>
        <w:t>(31)</w:t>
      </w:r>
      <w:r w:rsidR="00C7711A">
        <w:fldChar w:fldCharType="end"/>
      </w:r>
      <w:r w:rsidRPr="00E11235">
        <w:t>. We recruited 1</w:t>
      </w:r>
      <w:r>
        <w:t>,</w:t>
      </w:r>
      <w:r w:rsidRPr="00E11235">
        <w:t>079 pregnant women, of whom 969 had one or more and 110 had none of the known risk factors for preeclampsia and intrauterine growth restriction. The recruitment took place in arrival order when these women attended the first ultrasound screening at 12+0</w:t>
      </w:r>
      <w:r>
        <w:t xml:space="preserve"> to </w:t>
      </w:r>
      <w:r w:rsidRPr="00E11235">
        <w:t xml:space="preserve">13+6 </w:t>
      </w:r>
      <w:proofErr w:type="spellStart"/>
      <w:r w:rsidRPr="00E11235">
        <w:t>weeks+days</w:t>
      </w:r>
      <w:proofErr w:type="spellEnd"/>
      <w:r w:rsidRPr="00E11235">
        <w:t xml:space="preserve"> of gestation in one of the ten hospital maternity clinics participating in the study. The cohort profile </w:t>
      </w:r>
      <w:r w:rsidR="00C7711A">
        <w:fldChar w:fldCharType="begin" w:fldLock="1"/>
      </w:r>
      <w:r w:rsidR="002755CC">
        <w:instrText>ADDIN CSL_CITATION {"citationItems":[{"id":"ITEM-1","itemData":{"DOI":"10.1093/ije/dyw154","ISSN":"1464-3685 (Electronic)","PMID":"27639277","author":[{"dropping-particle":"","family":"Girchenko","given":"Polina","non-dropping-particle":"","parse-names":false,"suffix":""},{"dropping-particle":"","family":"Lahti","given":"Marius","non-dropping-particle":"","parse-names":false,"suffix":""},{"dropping-particle":"","family":"Tuovinen","given":"Soile","non-dropping-particle":"","parse-names":false,"suffix":""},{"dropping-particle":"","family":"Savolainen","given":"Katri","non-dropping-particle":"","parse-names":false,"suffix":""},{"dropping-particle":"","family":"Lahti","given":"Jari","non-dropping-particle":"","parse-names":false,"suffix":""},{"dropping-particle":"","family":"Binder","given":"Elisabeth B","non-dropping-particle":"","parse-names":false,"suffix":""},{"dropping-particle":"","family":"Reynolds","given":"Rebecca M","non-dropping-particle":"","parse-names":false,"suffix":""},{"dropping-particle":"","family":"Entringer","given":"Sonja","non-dropping-particle":"","parse-names":false,"suffix":""},{"dropping-particle":"","family":"Buss","given":"Claudia","non-dropping-particle":"","parse-names":false,"suffix":""},{"dropping-particle":"","family":"Wadhwa","given":"Pathik D","non-dropping-particle":"","parse-names":false,"suffix":""},{"dropping-particle":"","family":"Hamalainen","given":"Esa","non-dropping-particle":"","parse-names":false,"suffix":""},{"dropping-particle":"","family":"Kajantie","given":"Eero","non-dropping-particle":"","parse-names":false,"suffix":""},{"dropping-particle":"","family":"Pesonen","given":"Anu-Katriina","non-dropping-particle":"","parse-names":false,"suffix":""},{"dropping-particle":"","family":"Villa","given":"Pia M","non-dropping-particle":"","parse-names":false,"suffix":""},{"dropping-particle":"","family":"Laivuori","given":"Hannele","non-dropping-particle":"","parse-names":false,"suffix":""},{"dropping-particle":"","family":"Raikkonen","given":"Katri","non-dropping-particle":"","parse-names":false,"suffix":""}],"container-title":"International journal of epidemiology","id":"ITEM-1","issue":"5","issued":{"date-parts":[["2017","10"]]},"language":"eng","page":"1380-1381g","publisher-place":"England","title":"Cohort Profile: Prediction and prevention of preeclampsia and intrauterine growth restriction (PREDO) study.","type":"article-journal","volume":"46"},"uris":["http://www.mendeley.com/documents/?uuid=fa0fa159-973a-4634-99aa-93db58af8412"]}],"mendeley":{"formattedCitation":"&lt;span style=\"baseline\"&gt;(31)&lt;/span&gt;","plainTextFormattedCitation":"(31)","previouslyFormattedCitation":"&lt;span style=\"baseline\"&gt;(30)&lt;/span&gt;"},"properties":{"noteIndex":0},"schema":"https://github.com/citation-style-language/schema/raw/master/csl-citation.json"}</w:instrText>
      </w:r>
      <w:r w:rsidR="00C7711A">
        <w:fldChar w:fldCharType="separate"/>
      </w:r>
      <w:r w:rsidR="002755CC" w:rsidRPr="002755CC">
        <w:rPr>
          <w:noProof/>
        </w:rPr>
        <w:t>(31)</w:t>
      </w:r>
      <w:r w:rsidR="00C7711A">
        <w:fldChar w:fldCharType="end"/>
      </w:r>
      <w:r w:rsidRPr="00E11235">
        <w:t xml:space="preserve"> contains details of the study design and inclusion criteria. The study protocol was approved by the Ethical Committees of the Helsinki and </w:t>
      </w:r>
      <w:proofErr w:type="spellStart"/>
      <w:r w:rsidRPr="00E11235">
        <w:t>Uusimaa</w:t>
      </w:r>
      <w:proofErr w:type="spellEnd"/>
      <w:r w:rsidRPr="00E11235">
        <w:t xml:space="preserve"> Hospital District and by the participating hospitals. A written informed consent was obtained from all women.  The study has been registered as ClinicalTrials.gov identifier ISRCTN14030412.</w:t>
      </w:r>
    </w:p>
    <w:p w14:paraId="62664691" w14:textId="4D59072E" w:rsidR="00F31C3E" w:rsidRDefault="00E11235" w:rsidP="001D5B0E">
      <w:r>
        <w:t>Cord blood samples were ran on Illumina 450K Methylation arrays. To limit batch effects, we randomised all samples over the 96-well plates, based on gender and maternal risk factors for pre-eclampsia. Samples were placed on 96-well plates. Bisulphite conversion was performed using the EZ-96 DNA methylation kit (</w:t>
      </w:r>
      <w:proofErr w:type="spellStart"/>
      <w:r>
        <w:t>Zymo</w:t>
      </w:r>
      <w:proofErr w:type="spellEnd"/>
      <w:r>
        <w:t xml:space="preserve"> research Corporation, Irvine, USA). Then we used the Infinium HumanMethylation450 </w:t>
      </w:r>
      <w:proofErr w:type="spellStart"/>
      <w:r>
        <w:t>BeadChip</w:t>
      </w:r>
      <w:proofErr w:type="spellEnd"/>
      <w:r>
        <w:t xml:space="preserve"> (Illumina Inc., San Diego, USA) to measure the methylation level as a beta value ranging from 0 (no methylation) to 1 (complete methylation). The quality control pipeline was set up using the R-package </w:t>
      </w:r>
      <w:proofErr w:type="spellStart"/>
      <w:r w:rsidRPr="006D06D3">
        <w:rPr>
          <w:i/>
        </w:rPr>
        <w:t>minfi</w:t>
      </w:r>
      <w:proofErr w:type="spellEnd"/>
      <w:r w:rsidR="00C7711A">
        <w:t xml:space="preserve"> </w:t>
      </w:r>
      <w:r w:rsidR="00C7711A">
        <w:fldChar w:fldCharType="begin" w:fldLock="1"/>
      </w:r>
      <w:r w:rsidR="002755CC">
        <w:instrText>ADDIN CSL_CITATION {"citationItems":[{"id":"ITEM-1","itemData":{"DOI":"10.1093/bioinformatics/btu049","ISSN":"1367-4811 (Electronic)","PMID":"24478339","abstract":"MOTIVATION: The recently released Infinium HumanMethylation450 array (the '450k' array) provides a high-throughput assay to quantify DNA methylation (DNAm) at approximately 450 000 loci across a range of genomic features. Although less comprehensive than high-throughput sequencing-based techniques, this product is more cost-effective and promises to be the most widely used DNAm high-throughput measurement technology over the next several years. RESULTS: Here we describe a suite of computational tools that incorporate state-of-the-art statistical techniques for the analysis of DNAm data. The software is structured to easily adapt to future versions of the technology. We include methods for preprocessing, quality assessment and detection of differentially methylated regions from the kilobase to the megabase scale. We show how our software provides a powerful and flexible development platform for future methods. We also illustrate how our methods empower the technology to make discoveries previously thought to be possible only with sequencing-based methods. AVAILABILITY AND IMPLEMENTATION: http://bioconductor.org/packages/release/bioc/html/minfi.html. CONTACT: khansen@jhsph.edu; rafa@jimmy.harvard.edu SUPPLEMENTARY INFORMATION: Supplementary data are available at Bioinformatics online.","author":[{"dropping-particle":"","family":"Aryee","given":"Martin J","non-dropping-particle":"","parse-names":false,"suffix":""},{"dropping-particle":"","family":"Jaffe","given":"Andrew E","non-dropping-particle":"","parse-names":false,"suffix":""},{"dropping-particle":"","family":"Corrada-Bravo","given":"Hector","non-dropping-particle":"","parse-names":false,"suffix":""},{"dropping-particle":"","family":"Ladd-Acosta","given":"Christine","non-dropping-particle":"","parse-names":false,"suffix":""},{"dropping-particle":"","family":"Feinberg","given":"Andrew P","non-dropping-particle":"","parse-names":false,"suffix":""},{"dropping-particle":"","family":"Hansen","given":"Kasper D","non-dropping-particle":"","parse-names":false,"suffix":""},{"dropping-particle":"","family":"Irizarry","given":"Rafael A","non-dropping-particle":"","parse-names":false,"suffix":""}],"container-title":"Bioinformatics (Oxford, England)","id":"ITEM-1","issue":"10","issued":{"date-parts":[["2014","5"]]},"language":"eng","page":"1363-1369","publisher-place":"England","title":"Minfi: a flexible and comprehensive Bioconductor package for the analysis of Infinium DNA methylation microarrays.","type":"article-journal","volume":"30"},"uris":["http://www.mendeley.com/documents/?uuid=feec687b-7c51-4a7c-b578-fe16b28703f8"]},{"id":"ITEM-2","itemData":{"author":[{"dropping-particle":"","family":"R Core Team","given":"","non-dropping-particle":"","parse-names":false,"suffix":""}],"id":"ITEM-2","issued":{"date-parts":[["2019"]]},"publisher-place":"Vienna, Austria","title":"R: A Language and Environment for Statistical Computing","type":"article"},"uris":["http://www.mendeley.com/documents/?uuid=762d3936-f0ff-48c1-9dba-a8d08b96211d"]}],"mendeley":{"formattedCitation":"&lt;span style=\"baseline\"&gt;(7,22)&lt;/span&gt;","plainTextFormattedCitation":"(7,22)","previouslyFormattedCitation":"&lt;span style=\"baseline\"&gt;(7,21)&lt;/span&gt;"},"properties":{"noteIndex":0},"schema":"https://github.com/citation-style-language/schema/raw/master/csl-citation.json"}</w:instrText>
      </w:r>
      <w:r w:rsidR="00C7711A">
        <w:fldChar w:fldCharType="separate"/>
      </w:r>
      <w:r w:rsidR="002755CC" w:rsidRPr="002755CC">
        <w:rPr>
          <w:noProof/>
        </w:rPr>
        <w:t>(7,22)</w:t>
      </w:r>
      <w:r w:rsidR="00C7711A">
        <w:fldChar w:fldCharType="end"/>
      </w:r>
      <w:r>
        <w:t xml:space="preserve">. Three IDs were excluded as they were outliers in the median intensities. Furthermore, 20 IDs showed </w:t>
      </w:r>
      <w:proofErr w:type="spellStart"/>
      <w:r>
        <w:t>disconcordance</w:t>
      </w:r>
      <w:proofErr w:type="spellEnd"/>
      <w:r>
        <w:t xml:space="preserve"> between phenotypic sex and estimated sex and were excluded.  Nine IDs were contaminated with maternal DNA (Morin et al, submitted) and were also removed. Methylation beta-values were normalised using the </w:t>
      </w:r>
      <w:proofErr w:type="spellStart"/>
      <w:r>
        <w:t>funnorm</w:t>
      </w:r>
      <w:proofErr w:type="spellEnd"/>
      <w:r>
        <w:t xml:space="preserve"> function. We excluded any probes on chromosome X or Y, probes containing SNPs and cross-hybridizing probes according to Chen et al. </w:t>
      </w:r>
      <w:r w:rsidR="00C7711A">
        <w:fldChar w:fldCharType="begin" w:fldLock="1"/>
      </w:r>
      <w:r w:rsidR="00C7711A">
        <w:instrText>ADDIN CSL_CITATION {"citationItems":[{"id":"ITEM-1","itemData":{"DOI":"10.4161/epi.23470","ISSN":"1559-2308 (Electronic)","PMID":"23314698","abstract":"DNA methylation, an important type of epigenetic modification in humans, participates in crucial cellular processes, such as embryonic development, X-inactivation, genomic imprinting and chromosome stability. Several platforms have been developed to study genome-wide DNA methylation. Many investigators in the field have chosen the Illumina Infinium HumanMethylation microarray for its ability to reliably assess DNA methylation following sodium bisulfite conversion. Here, we analyzed methylation profiles of 489 adult males and 357 adult females generated by the Infinium HumanMethylation450 microarray. Among the autosomal CpG sites that displayed significant methylation differences between the two sexes, we observed a significant enrichment of cross-reactive probes co- hybridizing to the sex chromosomes with more than 94% sequence identity. This could lead investigators to mistakenly infer the existence of significant autosomal sex-associated methylation. Using sequence identity cutoffs derived from the sex methylation analysis, we concluded that 6% of the array probes can potentially generate spurious signals because of co-hybridization to alternate genomic sequences highly homologous to the intended targets. Additionally, we discovered probes targeting polymorphic CpGs that overlapped SNPs. The methylation levels detected by these probes are simply the reflection of underlying genetic polymorphisms but could be misinterpreted as true signals. The existence of probes that are cross-reactive or of target polymorphic CpGs in the Illumina HumanMethylation microarrays can confound data obtained from such microarrays. Therefore, investigators should exercise caution when significant biological associations are found using these array platforms. A list of all cross-reactive probes and polymorphic CpGs identified by us are annotated in this paper.","author":[{"dropping-particle":"","family":"Chen","given":"Yi-an","non-dropping-particle":"","parse-names":false,"suffix":""},{"dropping-particle":"","family":"Lemire","given":"Mathieu","non-dropping-particle":"","parse-names":false,"suffix":""},{"dropping-particle":"","family":"Choufani","given":"Sanaa","non-dropping-particle":"","parse-names":false,"suffix":""},{"dropping-particle":"","family":"Butcher","given":"Darci T","non-dropping-particle":"","parse-names":false,"suffix":""},{"dropping-particle":"","family":"Grafodatskaya","given":"Daria","non-dropping-particle":"","parse-names":false,"suffix":""},{"dropping-particle":"","family":"Zanke","given":"Brent W","non-dropping-particle":"","parse-names":false,"suffix":""},{"dropping-particle":"","family":"Gallinger","given":"Steven","non-dropping-particle":"","parse-names":false,"suffix":""},{"dropping-particle":"","family":"Hudson","given":"Thomas J","non-dropping-particle":"","parse-names":false,"suffix":""},{"dropping-particle":"","family":"Weksberg","given":"Rosanna","non-dropping-particle":"","parse-names":false,"suffix":""}],"container-title":"Epigenetics","id":"ITEM-1","issue":"2","issued":{"date-parts":[["2013","2"]]},"language":"eng","page":"203-209","publisher-place":"United States","title":"Discovery of cross-reactive probes and polymorphic CpGs in the Illumina Infinium HumanMethylation450 microarray.","type":"article-journal","volume":"8"},"uris":["http://www.mendeley.com/documents/?uuid=baa489e5-e61a-4e8e-ba14-6ede787de8ab"]}],"mendeley":{"formattedCitation":"&lt;span style=\"baseline\"&gt;(8)&lt;/span&gt;","plainTextFormattedCitation":"(8)","previouslyFormattedCitation":"&lt;span style=\"baseline\"&gt;(8)&lt;/span&gt;"},"properties":{"noteIndex":0},"schema":"https://github.com/citation-style-language/schema/raw/master/csl-citation.json"}</w:instrText>
      </w:r>
      <w:r w:rsidR="00C7711A">
        <w:fldChar w:fldCharType="separate"/>
      </w:r>
      <w:r w:rsidR="00C7711A" w:rsidRPr="00C7711A">
        <w:rPr>
          <w:noProof/>
        </w:rPr>
        <w:t>(8)</w:t>
      </w:r>
      <w:r w:rsidR="00C7711A">
        <w:fldChar w:fldCharType="end"/>
      </w:r>
      <w:r w:rsidR="00C7711A">
        <w:t xml:space="preserve"> </w:t>
      </w:r>
      <w:r>
        <w:t>and Price et al</w:t>
      </w:r>
      <w:r w:rsidR="00C7711A">
        <w:t xml:space="preserve">. </w:t>
      </w:r>
      <w:r w:rsidR="00C7711A">
        <w:fldChar w:fldCharType="begin" w:fldLock="1"/>
      </w:r>
      <w:r w:rsidR="002755CC">
        <w:instrText>ADDIN CSL_CITATION {"citationItems":[{"id":"ITEM-1","itemData":{"DOI":"10.1186/1756-8935-6-4","ISSN":"1756-8935 (Print)","PMID":"23452981","abstract":"BACKGROUND: Measurement of genome-wide DNA methylation (DNAm) has become an important avenue for investigating potential physiologically-relevant epigenetic changes. Illumina Infinium (Illumina, San Diego, CA, USA) is a commercially available microarray suite used to measure DNAm at many sites throughout the genome. However, it has been suggested that a subset of array probes may give misleading results due to issues related to probe design. To facilitate biologically significant data interpretation, we set out to enhance probe annotation of the newest Infinium array, the HumanMethylation450 BeadChip (450 k), with &gt;485,000 probes covering 99% of Reference Sequence (RefSeq) genes (National Center for Biotechnology Information (NCBI), Bethesda, MD, USA). Annotation that was added or expanded on includes: 1) documented SNPs in the probe target, 2) probe binding specificity, 3) CpG classification of target sites and 4) gene feature classification of target sites. RESULTS: Probes with documented SNPs at the target CpG (4.3% of probes) were associated with increased within-tissue variation in DNAm. An example of a probe with a SNP at the target CpG demonstrated how sample genotype can confound the measurement of DNAm. Additionally, 8.6% of probes mapped to multiple locations in silico. Measurements from these non-specific probes likely represent a combination of DNAm from multiple genomic sites. The expanded biological annotation demonstrated that based on DNAm, grouping probes by an alternative high-density and intermediate-density CpG island classification provided a distinctive pattern of DNAm. Finally, variable enrichment for differentially methylated probes was noted across CpG classes and gene feature groups, dependant on the tissues that were compared. CONCLUSION: DNAm arrays offer a high-throughput approach for which careful consideration of probe content should be utilized to better understand the biological processes affected. Probes containing SNPs and non-specific probes may affect the assessment of DNAm using the 450 k array. Additionally, probe classification by CpG enrichment classes and to a lesser extent gene feature groups resulted in distinct patterns of DNAm. Thus, we recommend that compromised probes be removed from analyses and that the genomic context of DNAm is considered in studies deciphering the biological meaning of Illumina 450 k array data.","author":[{"dropping-particle":"","family":"Price","given":"Magda E","non-dropping-particle":"","parse-names":false,"suffix":""},{"dropping-particle":"","family":"Cotton","given":"Allison M","non-dropping-particle":"","parse-names":false,"suffix":""},{"dropping-particle":"","family":"Lam","given":"Lucia L","non-dropping-particle":"","parse-names":false,"suffix":""},{"dropping-particle":"","family":"Farre","given":"Pau","non-dropping-particle":"","parse-names":false,"suffix":""},{"dropping-particle":"","family":"Emberly","given":"Eldon","non-dropping-particle":"","parse-names":false,"suffix":""},{"dropping-particle":"","family":"Brown","given":"Carolyn J","non-dropping-particle":"","parse-names":false,"suffix":""},{"dropping-particle":"","family":"Robinson","given":"Wendy P","non-dropping-particle":"","parse-names":false,"suffix":""},{"dropping-particle":"","family":"Kobor","given":"Michael S","non-dropping-particle":"","parse-names":false,"suffix":""}],"container-title":"Epigenetics &amp; chromatin","id":"ITEM-1","issue":"1","issued":{"date-parts":[["2013","3"]]},"language":"eng","page":"4","publisher-place":"England","title":"Additional annotation enhances potential for biologically-relevant analysis of the Illumina Infinium HumanMethylation450 BeadChip array.","type":"article-journal","volume":"6"},"uris":["http://www.mendeley.com/documents/?uuid=036f883a-00a5-471e-be22-def27aed2973"]}],"mendeley":{"formattedCitation":"&lt;span style=\"baseline\"&gt;(32)&lt;/span&gt;","plainTextFormattedCitation":"(32)","previouslyFormattedCitation":"&lt;span style=\"baseline\"&gt;(31)&lt;/span&gt;"},"properties":{"noteIndex":0},"schema":"https://github.com/citation-style-language/schema/raw/master/csl-citation.json"}</w:instrText>
      </w:r>
      <w:r w:rsidR="00C7711A">
        <w:fldChar w:fldCharType="separate"/>
      </w:r>
      <w:r w:rsidR="002755CC" w:rsidRPr="002755CC">
        <w:rPr>
          <w:noProof/>
        </w:rPr>
        <w:t>(32)</w:t>
      </w:r>
      <w:r w:rsidR="00C7711A">
        <w:fldChar w:fldCharType="end"/>
      </w:r>
      <w:r>
        <w:t xml:space="preserve">. Furthermore, any </w:t>
      </w:r>
      <w:proofErr w:type="spellStart"/>
      <w:r>
        <w:t>C</w:t>
      </w:r>
      <w:r w:rsidR="00667E49">
        <w:t>p</w:t>
      </w:r>
      <w:r>
        <w:t>Gs</w:t>
      </w:r>
      <w:proofErr w:type="spellEnd"/>
      <w:r>
        <w:t xml:space="preserve"> with a detection p-value &gt; 0.01 in at least 25% of the samples were excluded. The final dataset contains 428,619 </w:t>
      </w:r>
      <w:proofErr w:type="spellStart"/>
      <w:r>
        <w:t>CpGs</w:t>
      </w:r>
      <w:proofErr w:type="spellEnd"/>
      <w:r>
        <w:t xml:space="preserve"> and 825 IDs.</w:t>
      </w:r>
      <w:r w:rsidR="00667E49">
        <w:t xml:space="preserve"> </w:t>
      </w:r>
      <w:r>
        <w:t xml:space="preserve">After normalization two batches, i.e. slide and well, were significantly associated and were removed iteratively using the </w:t>
      </w:r>
      <w:r w:rsidRPr="001D5B0E">
        <w:rPr>
          <w:i/>
        </w:rPr>
        <w:t>Combat</w:t>
      </w:r>
      <w:r>
        <w:t xml:space="preserve"> method</w:t>
      </w:r>
      <w:r w:rsidR="00C7711A">
        <w:t xml:space="preserve"> </w:t>
      </w:r>
      <w:r w:rsidR="00C7711A">
        <w:fldChar w:fldCharType="begin" w:fldLock="1"/>
      </w:r>
      <w:r w:rsidR="002755CC">
        <w:instrText>ADDIN CSL_CITATION {"citationItems":[{"id":"ITEM-1","itemData":{"DOI":"10.1093/biostatistics/kxj037","ISSN":"1465-4644 (Print)","PMID":"16632515","abstract":"Non-biological experimental variation or \"batch effects\" are commonly observed across multiple batches of microarray experiments, often rendering the task of combining data from these batches difficult. The ability to combine microarray data sets is advantageous to researchers to increase statistical power to detect biological phenomena from studies where logistical considerations restrict sample size or in studies that require the sequential hybridization of arrays. In general, it is inappropriate to combine data sets without adjusting for batch effects. Methods have been proposed to filter batch effects from data, but these are often complicated and require large batch sizes ( &gt; 25) to implement. Because the majority of microarray studies are conducted using much smaller sample sizes, existing methods are not sufficient. We propose parametric and non-parametric empirical Bayes frameworks for adjusting data for batch effects that is robust to outliers in small sample sizes and performs comparable to existing methods for large samples. We illustrate our methods using two example data sets and show that our methods are justifiable, easy to apply, and useful in practice. Software for our method is freely available at: http://biosun1.harvard.edu/complab/batch/.","author":[{"dropping-particle":"","family":"Johnson","given":"W Evan","non-dropping-particle":"","parse-names":false,"suffix":""},{"dropping-particle":"","family":"Li","given":"Cheng","non-dropping-particle":"","parse-names":false,"suffix":""},{"dropping-particle":"","family":"Rabinovic","given":"Ariel","non-dropping-particle":"","parse-names":false,"suffix":""}],"container-title":"Biostatistics (Oxford, England)","id":"ITEM-1","issue":"1","issued":{"date-parts":[["2007","1"]]},"language":"eng","page":"118-127","publisher-place":"England","title":"Adjusting batch effects in microarray expression data using empirical Bayes methods.","type":"article-journal","volume":"8"},"uris":["http://www.mendeley.com/documents/?uuid=800ff603-9dde-4ae9-8778-2982a8f63d47"]}],"mendeley":{"formattedCitation":"&lt;span style=\"baseline\"&gt;(28)&lt;/span&gt;","plainTextFormattedCitation":"(28)","previouslyFormattedCitation":"&lt;span style=\"baseline\"&gt;(27)&lt;/span&gt;"},"properties":{"noteIndex":0},"schema":"https://github.com/citation-style-language/schema/raw/master/csl-citation.json"}</w:instrText>
      </w:r>
      <w:r w:rsidR="00C7711A">
        <w:fldChar w:fldCharType="separate"/>
      </w:r>
      <w:r w:rsidR="002755CC" w:rsidRPr="002755CC">
        <w:rPr>
          <w:noProof/>
        </w:rPr>
        <w:t>(28)</w:t>
      </w:r>
      <w:r w:rsidR="00C7711A">
        <w:fldChar w:fldCharType="end"/>
      </w:r>
      <w:r>
        <w:t>.</w:t>
      </w:r>
    </w:p>
    <w:p w14:paraId="408FFE14" w14:textId="64B1E0DE" w:rsidR="00F31C3E" w:rsidRDefault="00F31C3E" w:rsidP="00F31C3E">
      <w:r w:rsidRPr="00B9499F">
        <w:lastRenderedPageBreak/>
        <w:t xml:space="preserve">In the models, we adjusted for child sex, maternal age at childbirth, parity, maternal smoking during pregnancy (no, quite during </w:t>
      </w:r>
      <w:r>
        <w:t>1</w:t>
      </w:r>
      <w:r w:rsidRPr="00B9499F">
        <w:t xml:space="preserve">st trimester, yes), maternal educational level (primary, secondary, lower tertiary, upper tertiary), and gestational age at birth and at haemoglobin measurement. These data were derived from the Finnish Medical Birth Register (MBR), HILMO or medical records. In addition, we adjusted for estimated cord blood cell counts for seven cell types (nucleated red blood cells, granulocytes, monocytes, natural killer cells, B cells, CD4(+)T cells, and CD8(+)T cells) using the method of </w:t>
      </w:r>
      <w:proofErr w:type="spellStart"/>
      <w:r w:rsidRPr="00B9499F">
        <w:t>Bakulski</w:t>
      </w:r>
      <w:proofErr w:type="spellEnd"/>
      <w:r w:rsidRPr="00B9499F">
        <w:t xml:space="preserve"> et al. </w:t>
      </w:r>
      <w:r>
        <w:fldChar w:fldCharType="begin" w:fldLock="1"/>
      </w:r>
      <w:r w:rsidR="002755CC">
        <w:instrText>ADDIN CSL_CITATION {"citationItems":[{"id":"ITEM-1","itemData":{"DOI":"10.1080/15592294.2016.1161875","ISSN":"1559-2308 (Electronic)","PMID":"27019159","abstract":"Epigenome-wide association studies of disease widely use DNA methylation measured in blood as a surrogate tissue. Cell proportions can vary between people and confound associations of exposure or outcome. An adequate reference panel for estimating cell proportions from adult whole blood for DNA methylation studies is available, but an analogous cord blood cell reference panel is not yet available. Cord blood has unique cell types and the epigenetic signatures of standard cell types may not be consistent throughout the life course. Using magnetic bead sorting, we isolated cord blood cell types (nucleated red blood cells, granulocytes, monocytes, natural killer cells, B cells, CD4(+)T cells, and CD8(+)T cells) from 17 live births at Johns Hopkins Hospital. We confirmed enrichment of the cell types using fluorescence assisted cell sorting and ran DNA from the separated cell types on the Illumina Infinium HumanMethylation450 BeadChip array. After filtering, the final analysis was on 104 samples at 429,794 probes. We compared cell type specific signatures in cord to each other and methylation at 49.2% of CpG sites on the array differed by cell type (F-test P &lt; 10(-8)). Differences between nucleated red blood cells and the remainder of the cell types were most pronounced (36.9% of CpG sites at P &lt; 10(-8)) and 99.5% of these sites were hypomethylated relative to the other cell types. We also compared the mean-centered sorted cord profiles to the available adult reference panel and observed high correlation between the overlapping cell types for granulocytes and monocytes (both r=0.74), and poor correlation for CD8(+)T cells and NK cells (both r=0.08). We further provide an algorithm for estimating cell proportions in cord blood using the newly developed cord reference panel, which estimates biologically plausible cell proportions in whole cord blood samples.","author":[{"dropping-particle":"","family":"Bakulski","given":"Kelly M","non-dropping-particle":"","parse-names":false,"suffix":""},{"dropping-particle":"","family":"Feinberg","given":"Jason I","non-dropping-particle":"","parse-names":false,"suffix":""},{"dropping-particle":"V","family":"Andrews","given":"Shan","non-dropping-particle":"","parse-names":false,"suffix":""},{"dropping-particle":"","family":"Yang","given":"Jack","non-dropping-particle":"","parse-names":false,"suffix":""},{"dropping-particle":"","family":"Brown","given":"Shannon","non-dropping-particle":"","parse-names":false,"suffix":""},{"dropping-particle":"","family":"L McKenney","given":"Stephanie","non-dropping-particle":"","parse-names":false,"suffix":""},{"dropping-particle":"","family":"Witter","given":"Frank","non-dropping-particle":"","parse-names":false,"suffix":""},{"dropping-particle":"","family":"Walston","given":"Jeremy","non-dropping-particle":"","parse-names":false,"suffix":""},{"dropping-particle":"","family":"Feinberg","given":"Andrew P","non-dropping-particle":"","parse-names":false,"suffix":""},{"dropping-particle":"","family":"Fallin","given":"M Daniele","non-dropping-particle":"","parse-names":false,"suffix":""}],"container-title":"Epigenetics","id":"ITEM-1","issue":"5","issued":{"date-parts":[["2016","5"]]},"language":"eng","page":"354-362","publisher-place":"United States","title":"DNA methylation of cord blood cell types: Applications for mixed cell birth studies.","type":"article-journal","volume":"11"},"uris":["http://www.mendeley.com/documents/?uuid=b30571e3-1ba2-4869-97e5-53209b62f0b4"]}],"mendeley":{"formattedCitation":"&lt;span style=\"baseline\"&gt;(23)&lt;/span&gt;","plainTextFormattedCitation":"(23)","previouslyFormattedCitation":"&lt;span style=\"baseline\"&gt;(22)&lt;/span&gt;"},"properties":{"noteIndex":0},"schema":"https://github.com/citation-style-language/schema/raw/master/csl-citation.json"}</w:instrText>
      </w:r>
      <w:r>
        <w:fldChar w:fldCharType="separate"/>
      </w:r>
      <w:r w:rsidR="002755CC" w:rsidRPr="002755CC">
        <w:rPr>
          <w:noProof/>
        </w:rPr>
        <w:t>(23)</w:t>
      </w:r>
      <w:r>
        <w:fldChar w:fldCharType="end"/>
      </w:r>
      <w:r>
        <w:t xml:space="preserve"> </w:t>
      </w:r>
      <w:r w:rsidRPr="00B9499F">
        <w:t xml:space="preserve">which is incorporated in the R-package </w:t>
      </w:r>
      <w:proofErr w:type="spellStart"/>
      <w:r w:rsidRPr="00B9499F">
        <w:rPr>
          <w:i/>
        </w:rPr>
        <w:t>minfi</w:t>
      </w:r>
      <w:proofErr w:type="spellEnd"/>
      <w:r>
        <w:t xml:space="preserve"> </w:t>
      </w:r>
      <w:r>
        <w:fldChar w:fldCharType="begin" w:fldLock="1"/>
      </w:r>
      <w:r w:rsidR="00F307BE">
        <w:instrText>ADDIN CSL_CITATION {"citationItems":[{"id":"ITEM-1","itemData":{"DOI":"10.1093/bioinformatics/btu049","ISSN":"1367-4811 (Electronic)","PMID":"24478339","abstract":"MOTIVATION: The recently released Infinium HumanMethylation450 array (the '450k' array) provides a high-throughput assay to quantify DNA methylation (DNAm) at approximately 450 000 loci across a range of genomic features. Although less comprehensive than high-throughput sequencing-based techniques, this product is more cost-effective and promises to be the most widely used DNAm high-throughput measurement technology over the next several years. RESULTS: Here we describe a suite of computational tools that incorporate state-of-the-art statistical techniques for the analysis of DNAm data. The software is structured to easily adapt to future versions of the technology. We include methods for preprocessing, quality assessment and detection of differentially methylated regions from the kilobase to the megabase scale. We show how our software provides a powerful and flexible development platform for future methods. We also illustrate how our methods empower the technology to make discoveries previously thought to be possible only with sequencing-based methods. AVAILABILITY AND IMPLEMENTATION: http://bioconductor.org/packages/release/bioc/html/minfi.html. CONTACT: khansen@jhsph.edu; rafa@jimmy.harvard.edu SUPPLEMENTARY INFORMATION: Supplementary data are available at Bioinformatics online.","author":[{"dropping-particle":"","family":"Aryee","given":"Martin J","non-dropping-particle":"","parse-names":false,"suffix":""},{"dropping-particle":"","family":"Jaffe","given":"Andrew E","non-dropping-particle":"","parse-names":false,"suffix":""},{"dropping-particle":"","family":"Corrada-Bravo","given":"Hector","non-dropping-particle":"","parse-names":false,"suffix":""},{"dropping-particle":"","family":"Ladd-Acosta","given":"Christine","non-dropping-particle":"","parse-names":false,"suffix":""},{"dropping-particle":"","family":"Feinberg","given":"Andrew P","non-dropping-particle":"","parse-names":false,"suffix":""},{"dropping-particle":"","family":"Hansen","given":"Kasper D","non-dropping-particle":"","parse-names":false,"suffix":""},{"dropping-particle":"","family":"Irizarry","given":"Rafael A","non-dropping-particle":"","parse-names":false,"suffix":""}],"container-title":"Bioinformatics (Oxford, England)","id":"ITEM-1","issue":"10","issued":{"date-parts":[["2014","5"]]},"language":"eng","page":"1363-1369","publisher-place":"England","title":"Minfi: a flexible and comprehensive Bioconductor package for the analysis of Infinium DNA methylation microarrays.","type":"article-journal","volume":"30"},"uris":["http://www.mendeley.com/documents/?uuid=feec687b-7c51-4a7c-b578-fe16b28703f8"]}],"mendeley":{"formattedCitation":"&lt;span style=\"baseline\"&gt;(7)&lt;/span&gt;","plainTextFormattedCitation":"(7)","previouslyFormattedCitation":"&lt;span style=\"baseline\"&gt;(7)&lt;/span&gt;"},"properties":{"noteIndex":0},"schema":"https://github.com/citation-style-language/schema/raw/master/csl-citation.json"}</w:instrText>
      </w:r>
      <w:r>
        <w:fldChar w:fldCharType="separate"/>
      </w:r>
      <w:r w:rsidRPr="00F31C3E">
        <w:rPr>
          <w:noProof/>
        </w:rPr>
        <w:t>(7)</w:t>
      </w:r>
      <w:r>
        <w:fldChar w:fldCharType="end"/>
      </w:r>
      <w:r>
        <w:t>.</w:t>
      </w:r>
      <w:r w:rsidRPr="00F31C3E">
        <w:t xml:space="preserve"> </w:t>
      </w:r>
    </w:p>
    <w:p w14:paraId="1834B7DE" w14:textId="104BA1EF" w:rsidR="00F31C3E" w:rsidRDefault="00F31C3E" w:rsidP="00F31C3E">
      <w:pPr>
        <w:pStyle w:val="Heading2"/>
      </w:pPr>
      <w:r>
        <w:t>Acknowledgements</w:t>
      </w:r>
    </w:p>
    <w:p w14:paraId="10168901" w14:textId="15D27F2A" w:rsidR="00F31C3E" w:rsidRDefault="00F31C3E" w:rsidP="00F31C3E">
      <w:r>
        <w:t xml:space="preserve">The PREDO study would not have been possible without the dedicated contribution of the PREDO study group members: E </w:t>
      </w:r>
      <w:proofErr w:type="spellStart"/>
      <w:r>
        <w:t>Hämäläinen</w:t>
      </w:r>
      <w:proofErr w:type="spellEnd"/>
      <w:r>
        <w:t xml:space="preserve">, E Kajantie, H </w:t>
      </w:r>
      <w:proofErr w:type="spellStart"/>
      <w:r>
        <w:t>Laivuori</w:t>
      </w:r>
      <w:proofErr w:type="spellEnd"/>
      <w:r>
        <w:t xml:space="preserve">, PM Villa, A-K Pesonen, A </w:t>
      </w:r>
      <w:proofErr w:type="spellStart"/>
      <w:r>
        <w:t>Aitokallio-Tallberg</w:t>
      </w:r>
      <w:proofErr w:type="spellEnd"/>
      <w:r>
        <w:t xml:space="preserve">, A-M Henry, VK </w:t>
      </w:r>
      <w:proofErr w:type="spellStart"/>
      <w:r>
        <w:t>Hiilesmaa</w:t>
      </w:r>
      <w:proofErr w:type="spellEnd"/>
      <w:r>
        <w:t xml:space="preserve">, T </w:t>
      </w:r>
      <w:proofErr w:type="spellStart"/>
      <w:r>
        <w:t>Karipohja</w:t>
      </w:r>
      <w:proofErr w:type="spellEnd"/>
      <w:r>
        <w:t xml:space="preserve">, R Meri, S </w:t>
      </w:r>
      <w:proofErr w:type="spellStart"/>
      <w:r>
        <w:t>Sainio</w:t>
      </w:r>
      <w:proofErr w:type="spellEnd"/>
      <w:r>
        <w:t xml:space="preserve">, T </w:t>
      </w:r>
      <w:proofErr w:type="spellStart"/>
      <w:r>
        <w:t>Saisto</w:t>
      </w:r>
      <w:proofErr w:type="spellEnd"/>
      <w:r>
        <w:t xml:space="preserve">, S </w:t>
      </w:r>
      <w:proofErr w:type="spellStart"/>
      <w:r>
        <w:t>Suomalainen-Konig</w:t>
      </w:r>
      <w:proofErr w:type="spellEnd"/>
      <w:r>
        <w:t xml:space="preserve">, V-M </w:t>
      </w:r>
      <w:proofErr w:type="spellStart"/>
      <w:r>
        <w:t>Ulander</w:t>
      </w:r>
      <w:proofErr w:type="spellEnd"/>
      <w:r>
        <w:t xml:space="preserve">, T </w:t>
      </w:r>
      <w:proofErr w:type="spellStart"/>
      <w:r>
        <w:t>Vaitilo</w:t>
      </w:r>
      <w:proofErr w:type="spellEnd"/>
      <w:r>
        <w:t xml:space="preserve"> (Department of Obstetrics and Gynaecology, University of Helsinki and Helsinki University Central Hospital, Helsinki, Finland), L </w:t>
      </w:r>
      <w:proofErr w:type="spellStart"/>
      <w:r>
        <w:t>Keski-Nisula</w:t>
      </w:r>
      <w:proofErr w:type="spellEnd"/>
      <w:r>
        <w:t xml:space="preserve">, </w:t>
      </w:r>
      <w:proofErr w:type="spellStart"/>
      <w:r>
        <w:t>Maija</w:t>
      </w:r>
      <w:proofErr w:type="spellEnd"/>
      <w:r>
        <w:t xml:space="preserve">-Riitta Orden (Kuopio University Hospital, Kuopio Finland), E </w:t>
      </w:r>
      <w:proofErr w:type="spellStart"/>
      <w:r>
        <w:t>Koistinen</w:t>
      </w:r>
      <w:proofErr w:type="spellEnd"/>
      <w:r>
        <w:t xml:space="preserve">, T </w:t>
      </w:r>
      <w:proofErr w:type="spellStart"/>
      <w:r>
        <w:t>Walle</w:t>
      </w:r>
      <w:proofErr w:type="spellEnd"/>
      <w:r>
        <w:t xml:space="preserve">, R </w:t>
      </w:r>
      <w:proofErr w:type="spellStart"/>
      <w:r>
        <w:t>Solja</w:t>
      </w:r>
      <w:proofErr w:type="spellEnd"/>
      <w:r>
        <w:t xml:space="preserve"> (Northern Karelia Central Hospital, Joensuu, Finland), M </w:t>
      </w:r>
      <w:proofErr w:type="spellStart"/>
      <w:r>
        <w:t>Kurkinen</w:t>
      </w:r>
      <w:proofErr w:type="spellEnd"/>
      <w:r>
        <w:t xml:space="preserve"> (</w:t>
      </w:r>
      <w:proofErr w:type="spellStart"/>
      <w:r>
        <w:t>Päijät-Häme</w:t>
      </w:r>
      <w:proofErr w:type="spellEnd"/>
      <w:r>
        <w:t xml:space="preserve"> Central Hospital, Lahti, Finland), </w:t>
      </w:r>
      <w:proofErr w:type="spellStart"/>
      <w:r>
        <w:t>P.Taipale</w:t>
      </w:r>
      <w:proofErr w:type="spellEnd"/>
      <w:r>
        <w:t xml:space="preserve">. P </w:t>
      </w:r>
      <w:proofErr w:type="spellStart"/>
      <w:r>
        <w:t>Staven</w:t>
      </w:r>
      <w:proofErr w:type="spellEnd"/>
      <w:r>
        <w:t xml:space="preserve"> (</w:t>
      </w:r>
      <w:proofErr w:type="spellStart"/>
      <w:r>
        <w:t>Iisalmi</w:t>
      </w:r>
      <w:proofErr w:type="spellEnd"/>
      <w:r>
        <w:t xml:space="preserve"> Hospital, </w:t>
      </w:r>
      <w:proofErr w:type="spellStart"/>
      <w:r>
        <w:t>Iisalmi</w:t>
      </w:r>
      <w:proofErr w:type="spellEnd"/>
      <w:r>
        <w:t xml:space="preserve">, Finland), J </w:t>
      </w:r>
      <w:proofErr w:type="spellStart"/>
      <w:r>
        <w:t>Uotila</w:t>
      </w:r>
      <w:proofErr w:type="spellEnd"/>
      <w:r>
        <w:t xml:space="preserve"> (Tampere University Hospital, Tampere, Finland). We thank all the PREDO children and their parents for their enthusiastic participation. We also thank all the research nurses, research assistants, and laboratory personnel involved in the PREDO study.</w:t>
      </w:r>
    </w:p>
    <w:p w14:paraId="104EDC4D" w14:textId="18E468C7" w:rsidR="00F31C3E" w:rsidRDefault="00F31C3E" w:rsidP="00F31C3E">
      <w:r w:rsidRPr="00F31C3E">
        <w:t xml:space="preserve">The PREDO Study has been funded by the Academy of Finland (JL: 311617 and  269925, KR: 1312670 </w:t>
      </w:r>
      <w:proofErr w:type="spellStart"/>
      <w:r w:rsidRPr="00F31C3E">
        <w:t>ja</w:t>
      </w:r>
      <w:proofErr w:type="spellEnd"/>
      <w:r w:rsidRPr="00F31C3E">
        <w:t xml:space="preserve"> 128789 1287891), </w:t>
      </w:r>
      <w:proofErr w:type="spellStart"/>
      <w:r w:rsidRPr="00F31C3E">
        <w:t>EraNet</w:t>
      </w:r>
      <w:proofErr w:type="spellEnd"/>
      <w:r w:rsidRPr="00F31C3E">
        <w:t xml:space="preserve"> Neuron, EVO (a special state subsidy for health science research), University of Helsinki Research Funds, the Signe and </w:t>
      </w:r>
      <w:proofErr w:type="spellStart"/>
      <w:r w:rsidRPr="00F31C3E">
        <w:t>Ane</w:t>
      </w:r>
      <w:proofErr w:type="spellEnd"/>
      <w:r w:rsidRPr="00F31C3E">
        <w:t xml:space="preserve"> </w:t>
      </w:r>
      <w:proofErr w:type="spellStart"/>
      <w:r w:rsidRPr="00F31C3E">
        <w:t>Gyllenberg</w:t>
      </w:r>
      <w:proofErr w:type="spellEnd"/>
      <w:r w:rsidRPr="00F31C3E">
        <w:t xml:space="preserve"> foundation, the Emil </w:t>
      </w:r>
      <w:proofErr w:type="spellStart"/>
      <w:r w:rsidRPr="00F31C3E">
        <w:t>Aaltonen</w:t>
      </w:r>
      <w:proofErr w:type="spellEnd"/>
      <w:r w:rsidRPr="00F31C3E">
        <w:t xml:space="preserve"> Foundation, the Finnish Medical Foundation, the Jane and </w:t>
      </w:r>
      <w:proofErr w:type="spellStart"/>
      <w:r w:rsidRPr="00F31C3E">
        <w:t>Aatos</w:t>
      </w:r>
      <w:proofErr w:type="spellEnd"/>
      <w:r w:rsidRPr="00F31C3E">
        <w:t xml:space="preserve"> </w:t>
      </w:r>
      <w:proofErr w:type="spellStart"/>
      <w:r w:rsidRPr="00F31C3E">
        <w:t>Erkko</w:t>
      </w:r>
      <w:proofErr w:type="spellEnd"/>
      <w:r w:rsidRPr="00F31C3E">
        <w:t xml:space="preserve"> Foundation, the Novo Nordisk Foundation, the </w:t>
      </w:r>
      <w:proofErr w:type="spellStart"/>
      <w:r w:rsidRPr="00F31C3E">
        <w:t>Päivikki</w:t>
      </w:r>
      <w:proofErr w:type="spellEnd"/>
      <w:r w:rsidRPr="00F31C3E">
        <w:t xml:space="preserve"> and </w:t>
      </w:r>
      <w:proofErr w:type="spellStart"/>
      <w:r w:rsidRPr="00F31C3E">
        <w:t>Sakari</w:t>
      </w:r>
      <w:proofErr w:type="spellEnd"/>
      <w:r w:rsidRPr="00F31C3E">
        <w:t xml:space="preserve"> </w:t>
      </w:r>
      <w:proofErr w:type="spellStart"/>
      <w:r w:rsidRPr="00F31C3E">
        <w:t>Sohlberg</w:t>
      </w:r>
      <w:proofErr w:type="spellEnd"/>
      <w:r w:rsidRPr="00F31C3E">
        <w:t xml:space="preserve"> Foundation, the Sigrid </w:t>
      </w:r>
      <w:proofErr w:type="spellStart"/>
      <w:r w:rsidRPr="00F31C3E">
        <w:t>Juselius</w:t>
      </w:r>
      <w:proofErr w:type="spellEnd"/>
      <w:r w:rsidRPr="00F31C3E">
        <w:t xml:space="preserve"> Foundation granted to members of the </w:t>
      </w:r>
      <w:proofErr w:type="spellStart"/>
      <w:r w:rsidRPr="00F31C3E">
        <w:t>Predo</w:t>
      </w:r>
      <w:proofErr w:type="spellEnd"/>
      <w:r w:rsidRPr="00F31C3E">
        <w:t xml:space="preserve"> study board. Methylation assays were funded by the Academy of Finland (269925).</w:t>
      </w:r>
    </w:p>
    <w:p w14:paraId="53E36507" w14:textId="2DE37249" w:rsidR="00F31C3E" w:rsidRDefault="00F31C3E" w:rsidP="00F31C3E">
      <w:r>
        <w:br w:type="page"/>
      </w:r>
    </w:p>
    <w:p w14:paraId="2983D114" w14:textId="0FCC319E" w:rsidR="00503344" w:rsidRDefault="00503344" w:rsidP="00CA7657">
      <w:pPr>
        <w:pStyle w:val="Heading1"/>
      </w:pPr>
      <w:r w:rsidRPr="00F774A6">
        <w:lastRenderedPageBreak/>
        <w:t>PROGRESS</w:t>
      </w:r>
      <w:r w:rsidR="0001323D">
        <w:t xml:space="preserve"> - </w:t>
      </w:r>
      <w:bookmarkStart w:id="5" w:name="_Hlk15551882"/>
      <w:r w:rsidR="0001323D" w:rsidRPr="0001323D">
        <w:t>Programming Research in Obesity, Growth Environment and Social Stress Study</w:t>
      </w:r>
      <w:bookmarkEnd w:id="5"/>
    </w:p>
    <w:p w14:paraId="61FEB24E" w14:textId="426022C1" w:rsidR="0001323D" w:rsidRPr="0001323D" w:rsidRDefault="0001323D" w:rsidP="0001323D">
      <w:r w:rsidRPr="0001323D">
        <w:t xml:space="preserve">PROGRESS is a longitudinal birth cohort study that enrolled 1054 women between 2007 and 2011. Women were receiving prenatal care from the Mexican Social Security Institute (Instituto </w:t>
      </w:r>
      <w:proofErr w:type="spellStart"/>
      <w:r w:rsidRPr="0001323D">
        <w:t>Mexicano</w:t>
      </w:r>
      <w:proofErr w:type="spellEnd"/>
      <w:r w:rsidRPr="0001323D">
        <w:t xml:space="preserve"> del Seguro Social) clinics in Mexico City, Mexico, and were enrolled 20 weeks gestation. Enrolment details can be found elsewhere</w:t>
      </w:r>
      <w:r w:rsidR="00C7711A">
        <w:t xml:space="preserve"> </w:t>
      </w:r>
      <w:r w:rsidR="00C7711A">
        <w:fldChar w:fldCharType="begin" w:fldLock="1"/>
      </w:r>
      <w:r w:rsidR="002755CC">
        <w:instrText>ADDIN CSL_CITATION {"citationItems":[{"id":"ITEM-1","itemData":{"DOI":"10.1186/1476-069X-13-50","ISSN":"1476-069X (Electronic)","PMID":"24916609","abstract":"BACKGROUND: Lead (Pb) exposure during pregnancy may increase the risk of adverse maternal, infant, or childhood health outcomes by interfering with hypothalamic-pituitary-adrenal-axis function. We examined relationships between maternal blood or bone Pb concentrations and features of diurnal cortisol profiles in 936 pregnant women from Mexico City. METHODS: From 2007-11 we recruited women from hospitals/clinics affiliated with the Mexican Social Security System. Pb was measured in blood (BPb) during the second trimester and in mothers' tibia and patella 1-month postpartum. We characterized maternal HPA-axis function using 10 timed salivary cortisol measurements collected over 2-days (mean: 19.7, range: 14-35 weeks gestation). We used linear mixed models to examine the relationship between Pb biomarkers and cortisol area under the curve (AUC), awakening response (CAR), and diurnal slope. RESULTS: After adjustment for confounders, women in the highest quintile of BPb concentrations had a reduced CAR (Ratio: -13%; Confidence Interval [CI]: -24, 1, p-value for trend &lt; 0.05) compared to women in the lowest quintile. Tibia/patella Pb concentrations were not associated with CAR, but diurnal cortisol slopes were suggestively flatter among women in the highest patella Pb quantile compared to women in the lowest quantile (Ratio: 14%; CI: -2, 33). BPb and bone Pb concentrations were not associated with cortisol AUC. CONCLUSIONS: Concurrent blood Pb levels were associated with cortisol awakening response in these pregnant women and this might explain adverse health outcomes associated with Pb. Further research is needed to confirm these results and determine if other environmental chemicals disrupt hypothalamic-pituitary-adrenal-axis function during pregnancy.","author":[{"dropping-particle":"","family":"Braun","given":"Joseph M","non-dropping-particle":"","parse-names":false,"suffix":""},{"dropping-particle":"","family":"Wright","given":"Rosalind J","non-dropping-particle":"","parse-names":false,"suffix":""},{"dropping-particle":"","family":"Just","given":"Allan C","non-dropping-particle":"","parse-names":false,"suffix":""},{"dropping-particle":"","family":"Power","given":"Melinda C","non-dropping-particle":"","parse-names":false,"suffix":""},{"dropping-particle":"","family":"Tamayo Y Ortiz","given":"Marcela","non-dropping-particle":"","parse-names":false,"suffix":""},{"dropping-particle":"","family":"Schnaas","given":"Lourdes","non-dropping-particle":"","parse-names":false,"suffix":""},{"dropping-particle":"","family":"Hu","given":"Howard","non-dropping-particle":"","parse-names":false,"suffix":""},{"dropping-particle":"","family":"Wright","given":"Robert O","non-dropping-particle":"","parse-names":false,"suffix":""},{"dropping-particle":"","family":"Tellez-Rojo","given":"Martha Maria","non-dropping-particle":"","parse-names":false,"suffix":""}],"container-title":"Environmental health : a global access science source","id":"ITEM-1","issue":"1","issued":{"date-parts":[["2014","6"]]},"language":"eng","page":"50","publisher-place":"England","title":"Relationships between lead biomarkers and diurnal salivary cortisol indices in pregnant women from Mexico City: a cross-sectional study.","type":"article-journal","volume":"13"},"uris":["http://www.mendeley.com/documents/?uuid=a381962a-ed60-4050-8171-ef526e7430d6"]},{"id":"ITEM-2","itemData":{"DOI":"10.2217/epi.13.24","ISSN":"1750-192X (Electronic)","PMID":"23750643","abstract":"AIM: We examined the association between birth weight and methylation in the imprinted IGF/H19 loci, the nonimprinted gene NR3C1 and repetitive element DNA (LINE-1 and Alu). MATERIALS &amp; METHODS: We collected umbilical cord venous blood from 219 infants born in Mexico City (Mexico) as part of a prospective birth cohort study and analyzed DNA methylation using pyrosequencing. RESULTS: Birth weight was not associated with DNA methylation of the regions studied. One of the CpG dinucleotides in the IGF2 imprinting control region (ICR)1 includes a potential C-T SNP. Among individuals with an absence of methylation at this site, probably due to a paternally inherited T allele, birth weight was associated with mean methylation status of both IGF2 ICR1 and ICR2. However, this association would not have survived adjustment for multiple testing. CONCLUSION: While we did not detect an association between DNA methylation and birth weight, our study suggests a potential gene-epigene interaction between a T allele in the IGF2 ICR1 and methylation of ICRs of IGF2, and fetal growth.","author":[{"dropping-particle":"","family":"Burris","given":"Heather H","non-dropping-particle":"","parse-names":false,"suffix":""},{"dropping-particle":"","family":"Braun","given":"Joe M","non-dropping-particle":"","parse-names":false,"suffix":""},{"dropping-particle":"","family":"Byun","given":"Hyang-Min","non-dropping-particle":"","parse-names":false,"suffix":""},{"dropping-particle":"","family":"Tarantini","given":"Letizia","non-dropping-particle":"","parse-names":false,"suffix":""},{"dropping-particle":"","family":"Mercado","given":"Adriana","non-dropping-particle":"","parse-names":false,"suffix":""},{"dropping-particle":"","family":"Wright","given":"Rosalind J","non-dropping-particle":"","parse-names":false,"suffix":""},{"dropping-particle":"","family":"Schnaas","given":"Lourdes","non-dropping-particle":"","parse-names":false,"suffix":""},{"dropping-particle":"","family":"Baccarelli","given":"Andrea A","non-dropping-particle":"","parse-names":false,"suffix":""},{"dropping-particle":"","family":"Wright","given":"Robert O","non-dropping-particle":"","parse-names":false,"suffix":""},{"dropping-particle":"","family":"Tellez-Rojo","given":"Martha M","non-dropping-particle":"","parse-names":false,"suffix":""}],"container-title":"Epigenomics","id":"ITEM-2","issue":"3","issued":{"date-parts":[["2013","6"]]},"language":"eng","page":"271-281","publisher-place":"England","title":"Association between birth weight and DNA methylation of IGF2, glucocorticoid receptor and repetitive elements LINE-1 and Alu.","type":"article-journal","volume":"5"},"uris":["http://www.mendeley.com/documents/?uuid=0df9ec1a-fbbb-452a-8a92-b967fef0d937"]}],"mendeley":{"formattedCitation":"&lt;span style=\"baseline\"&gt;(33,34)&lt;/span&gt;","plainTextFormattedCitation":"(33,34)","previouslyFormattedCitation":"&lt;span style=\"baseline\"&gt;(32,33)&lt;/span&gt;"},"properties":{"noteIndex":0},"schema":"https://github.com/citation-style-language/schema/raw/master/csl-citation.json"}</w:instrText>
      </w:r>
      <w:r w:rsidR="00C7711A">
        <w:fldChar w:fldCharType="separate"/>
      </w:r>
      <w:r w:rsidR="002755CC" w:rsidRPr="002755CC">
        <w:rPr>
          <w:noProof/>
        </w:rPr>
        <w:t>(33,34)</w:t>
      </w:r>
      <w:r w:rsidR="00C7711A">
        <w:fldChar w:fldCharType="end"/>
      </w:r>
      <w:r w:rsidRPr="0001323D">
        <w:t>. Maternal blood was collected in the 3rd trimester and haemoglobin measured as part of a standard complete blood count (CBC) by trained research staff. Procedures were approved by institutional review boards at the Harvard School of Public Health, Icahn School of Medicine at Mount Sinai, and the Mexican National Institute of Public Health. Women provided written informed consent.</w:t>
      </w:r>
    </w:p>
    <w:p w14:paraId="030B56B9" w14:textId="27E6C8A8" w:rsidR="0001323D" w:rsidRPr="0001323D" w:rsidRDefault="0001323D" w:rsidP="0001323D">
      <w:r w:rsidRPr="0001323D">
        <w:t>Cord blood was collected at birth from 505 of 948 participants for DNA isolation as previously described</w:t>
      </w:r>
      <w:r>
        <w:t xml:space="preserve"> </w:t>
      </w:r>
      <w:r w:rsidR="00D63BD0">
        <w:fldChar w:fldCharType="begin" w:fldLock="1"/>
      </w:r>
      <w:r w:rsidR="002755CC">
        <w:instrText>ADDIN CSL_CITATION {"citationItems":[{"id":"ITEM-1","itemData":{"DOI":"10.1016/j.envint.2016.11.007","ISSN":"1873-6750 (Electronic)","PMID":"27843010","abstract":"INTRODUCTION: Changes in mitochondrial DNA (mtDNA) can serve as a marker of cumulative oxidative stress (OS) due to the mitochondria's unique genome and relative lack of repair systems. In utero particulate matter &lt;/=2.5mum (PM2.5) exposure can enhance oxidative stress. Our objective was to identify sensitive windows to predict mtDNA damage experienced in the prenatal period due to PM2.5 exposure using mtDNA content measured in cord blood. MATERIAL AND METHODS: Women affiliated with the Mexican social security system were recruited during pregnancy in the Programming Research in Obesity, Growth, Environment and Social Stressors (PROGRESS) study. Mothers with cord blood collected at delivery and complete covariate data were included (n=456). Mothers' prenatal daily exposure to PM2.5 was estimated using a satellite-based spatio-temporally resolved prediction model and place of residence during pregnancy. DNA was extracted from umbilical cord leukocytes. Quantitative real-time polymerase chain reaction (qPCR) was used to determine mtDNA content. A distributive lag regression model (DLM) incorporating weekly averages of daily PM2.5 predictions was constructed to plot the association between exposure and OS over the length of pregnancy. RESULTS: In models that included child's sex, mother's age at delivery, prenatal environmental tobacco smoke exposure, birth year, maternal education, and assay batch, we found significant associations between higher PM2.5 exposure during late pregnancy (35-40weeks) and lower mtDNA content in cord blood. CONCLUSIONS: Increased PM2.5 during a specific prenatal window in the third trimester was associated with decreased mtDNA content suggesting heightened sensitivity to PM-induced OS during this life stage.","author":[{"dropping-particle":"","family":"Rosa","given":"Maria Jose","non-dropping-particle":"","parse-names":false,"suffix":""},{"dropping-particle":"","family":"Just","given":"Allan C","non-dropping-particle":"","parse-names":false,"suffix":""},{"dropping-particle":"","family":"Guerra","given":"Marco Sanchez","non-dropping-particle":"","parse-names":false,"suffix":""},{"dropping-particle":"","family":"Kloog","given":"Itai","non-dropping-particle":"","parse-names":false,"suffix":""},{"dropping-particle":"","family":"Hsu","given":"Hsiao-Hsien Leon","non-dropping-particle":"","parse-names":false,"suffix":""},{"dropping-particle":"","family":"Brennan","given":"Kasey J","non-dropping-particle":"","parse-names":false,"suffix":""},{"dropping-particle":"","family":"Garcia","given":"Adriana Mercado","non-dropping-particle":"","parse-names":false,"suffix":""},{"dropping-particle":"","family":"Coull","given":"Brent","non-dropping-particle":"","parse-names":false,"suffix":""},{"dropping-particle":"","family":"Wright","given":"Rosalind J","non-dropping-particle":"","parse-names":false,"suffix":""},{"dropping-particle":"","family":"Tellez Rojo","given":"Martha Maria","non-dropping-particle":"","parse-names":false,"suffix":""},{"dropping-particle":"","family":"Baccarelli","given":"Andrea A","non-dropping-particle":"","parse-names":false,"suffix":""},{"dropping-particle":"","family":"Wright","given":"Robert O","non-dropping-particle":"","parse-names":false,"suffix":""}],"container-title":"Environment international","id":"ITEM-1","issued":{"date-parts":[["2017","1"]]},"language":"eng","page":"198-203","publisher-place":"Netherlands","title":"Identifying sensitive windows for prenatal particulate air pollution exposure and mitochondrial DNA content in cord blood.","type":"article-journal","volume":"98"},"uris":["http://www.mendeley.com/documents/?uuid=a6681f54-e2aa-4db9-9be1-68a09591e1b2"]}],"mendeley":{"formattedCitation":"&lt;span style=\"baseline\"&gt;(35)&lt;/span&gt;","plainTextFormattedCitation":"(35)","previouslyFormattedCitation":"&lt;span style=\"baseline\"&gt;(34)&lt;/span&gt;"},"properties":{"noteIndex":0},"schema":"https://github.com/citation-style-language/schema/raw/master/csl-citation.json"}</w:instrText>
      </w:r>
      <w:r w:rsidR="00D63BD0">
        <w:fldChar w:fldCharType="separate"/>
      </w:r>
      <w:r w:rsidR="002755CC" w:rsidRPr="002755CC">
        <w:rPr>
          <w:noProof/>
        </w:rPr>
        <w:t>(35)</w:t>
      </w:r>
      <w:r w:rsidR="00D63BD0">
        <w:fldChar w:fldCharType="end"/>
      </w:r>
      <w:r w:rsidRPr="0001323D">
        <w:t xml:space="preserve">. The first 246 whole blood samples were stored in </w:t>
      </w:r>
      <w:proofErr w:type="spellStart"/>
      <w:r w:rsidRPr="0001323D">
        <w:t>PAXgeneTM</w:t>
      </w:r>
      <w:proofErr w:type="spellEnd"/>
      <w:r w:rsidRPr="0001323D">
        <w:t xml:space="preserve"> Blood DNA Tubes (</w:t>
      </w:r>
      <w:proofErr w:type="spellStart"/>
      <w:r w:rsidRPr="0001323D">
        <w:t>PreAnalytiX</w:t>
      </w:r>
      <w:proofErr w:type="spellEnd"/>
      <w:r w:rsidRPr="0001323D">
        <w:t xml:space="preserve"> GmbH, </w:t>
      </w:r>
      <w:proofErr w:type="spellStart"/>
      <w:r w:rsidRPr="0001323D">
        <w:t>Hombrechtikon</w:t>
      </w:r>
      <w:proofErr w:type="spellEnd"/>
      <w:r w:rsidRPr="0001323D">
        <w:t xml:space="preserve"> Switzerland) and extracted using a </w:t>
      </w:r>
      <w:proofErr w:type="spellStart"/>
      <w:r w:rsidRPr="0001323D">
        <w:t>QIAamp</w:t>
      </w:r>
      <w:proofErr w:type="spellEnd"/>
      <w:r w:rsidRPr="0001323D">
        <w:t xml:space="preserve"> DNA Blood Kit (QIAGEN). The DNA was then stored at −80 °C prior to analysis. The next 258 samples were extracted by conventional phenol</w:t>
      </w:r>
      <w:r w:rsidR="00E94962">
        <w:t>-</w:t>
      </w:r>
      <w:r w:rsidRPr="0001323D">
        <w:t xml:space="preserve">chloroform method after red cell lysis by a second laboratory. The second laboratory stored the DNA at 4 °C. DNA was </w:t>
      </w:r>
      <w:r w:rsidR="00E94962" w:rsidRPr="0001323D">
        <w:t>bisulphite</w:t>
      </w:r>
      <w:r w:rsidR="00E94962">
        <w:t>-</w:t>
      </w:r>
      <w:r w:rsidRPr="0001323D">
        <w:t>converted using the EZ-96 DNA methylation kit (</w:t>
      </w:r>
      <w:proofErr w:type="spellStart"/>
      <w:r w:rsidRPr="0001323D">
        <w:t>Zymo</w:t>
      </w:r>
      <w:proofErr w:type="spellEnd"/>
      <w:r w:rsidRPr="0001323D">
        <w:t xml:space="preserve"> research Corporation, Irvine, USA) in randomized 96 well plates. DNA methylation analysis was performed with the Illumina Methylation EPIC Array (Illumina Inc., San Diego, USA) at the University of Illinois. The following quality checks were performed in order to identify and remove problematic samples: samples that failed according to the 17 control probe metrics described in the Illumina </w:t>
      </w:r>
      <w:proofErr w:type="spellStart"/>
      <w:r w:rsidRPr="0001323D">
        <w:t>BeadArray</w:t>
      </w:r>
      <w:proofErr w:type="spellEnd"/>
      <w:r w:rsidRPr="0001323D">
        <w:t xml:space="preserve"> Controls Reporter Software Guide (n=5, numbers are not exclusive); samples with global hyper- or hypomethylation (n=16); possibly contaminated samples as identified by X and Y chromosome methylation (n=17); samples with more than 10,000 undetected autosomal probes (n=13); </w:t>
      </w:r>
      <w:r w:rsidR="00E94962" w:rsidRPr="0001323D">
        <w:t>mislabelled</w:t>
      </w:r>
      <w:r w:rsidRPr="0001323D">
        <w:t xml:space="preserve"> samples not clustering with their supposed tissue (n=11); possibly contaminated or poorly performing samples as identified by SNP probes methylation levels (n=43); </w:t>
      </w:r>
      <w:r w:rsidR="00E94962" w:rsidRPr="0001323D">
        <w:t>mislabelled</w:t>
      </w:r>
      <w:r w:rsidRPr="0001323D">
        <w:t xml:space="preserve"> samples identified by comparing genetic fingerprints (n=6) (final n=449 passing QC)</w:t>
      </w:r>
      <w:r w:rsidR="00D63BD0">
        <w:t xml:space="preserve"> </w:t>
      </w:r>
      <w:r w:rsidR="00D63BD0">
        <w:fldChar w:fldCharType="begin" w:fldLock="1"/>
      </w:r>
      <w:r w:rsidR="002755CC">
        <w:instrText>ADDIN CSL_CITATION {"citationItems":[{"id":"ITEM-1","itemData":{"DOI":"10.1186/s13148-018-0504-1","ISSN":"1868-7083 (Electronic)","PMID":"29881472","abstract":"Background: Mislabeled, contaminated or poorly performing samples can threaten power in methylation microarray analyses or even result in spurious associations. We describe a set of quality checks for the popular Illumina 450K and EPIC microarrays to identify problematic samples and demonstrate their application in publicly available datasets. Methods: Quality checks implemented here include 17 control metrics defined by the manufacturer, a sex check to detect mislabeled sex- discordant samples, and both an identity check for fingerprinting sample donors and a measure of sample contamination based on probes querying high-frequency SNPs. These checks were tested on 80 datasets comprising 8327 samples run on the 450K microarray from the GEO repository. Results: Nine hundred forty samples were flagged by at least one control metric and 133 samples from 20 datasets were assigned the wrong sex. In a dataset in which a subset of samples appear contaminated with a single source of DNA, we demonstrate that our measure based on outliers among SNP probes was strongly correlated (&gt; 0.95) with another independent measure of contamination. Conclusions: A more complete examination of samples that may be mislabeled, contaminated, or have poor performance due to technical problems will improve downstream analyses and replication of findings. We demonstrate that quality control problems are prevalent in a public repository of DNA methylation data. We advocate for a more thorough quality control workflow in epigenome-wide association studies and provide a software package to perform the checks described in this work. Reproducible code and supplementary material are available at 10.5281/zenodo.1172730.","author":[{"dropping-particle":"","family":"Heiss","given":"Jonathan A","non-dropping-particle":"","parse-names":false,"suffix":""},{"dropping-particle":"","family":"Just","given":"Allan C","non-dropping-particle":"","parse-names":false,"suffix":""}],"container-title":"Clinical epigenetics","id":"ITEM-1","issued":{"date-parts":[["2018"]]},"language":"eng","page":"73","publisher-place":"Germany","title":"Identifying mislabeled and contaminated DNA methylation microarray data: an extended quality control toolset with examples from GEO.","type":"article-journal","volume":"10"},"uris":["http://www.mendeley.com/documents/?uuid=5d276df4-6183-4de3-b2aa-31163727d865"]}],"mendeley":{"formattedCitation":"&lt;span style=\"baseline\"&gt;(36)&lt;/span&gt;","plainTextFormattedCitation":"(36)","previouslyFormattedCitation":"&lt;span style=\"baseline\"&gt;(35)&lt;/span&gt;"},"properties":{"noteIndex":0},"schema":"https://github.com/citation-style-language/schema/raw/master/csl-citation.json"}</w:instrText>
      </w:r>
      <w:r w:rsidR="00D63BD0">
        <w:fldChar w:fldCharType="separate"/>
      </w:r>
      <w:r w:rsidR="002755CC" w:rsidRPr="002755CC">
        <w:rPr>
          <w:noProof/>
        </w:rPr>
        <w:t>(36)</w:t>
      </w:r>
      <w:r w:rsidR="00D63BD0">
        <w:fldChar w:fldCharType="end"/>
      </w:r>
      <w:r w:rsidRPr="0001323D">
        <w:t xml:space="preserve">. Following QC, two samples from mothers who reported smoking during pregnancy were excluded (n=447), one individual was missing data on environmental tobacco smoke (n=446), and 51 individuals were lacking haemoglobin measurements (n=395). </w:t>
      </w:r>
    </w:p>
    <w:p w14:paraId="650A9866" w14:textId="24B19C2E" w:rsidR="0001323D" w:rsidRPr="0001323D" w:rsidRDefault="0001323D" w:rsidP="0001323D">
      <w:r w:rsidRPr="0001323D">
        <w:lastRenderedPageBreak/>
        <w:t xml:space="preserve">The final dataset consisted of 395 samples. </w:t>
      </w:r>
      <w:r w:rsidR="00E94962" w:rsidRPr="0001323D">
        <w:t>Pre-processing</w:t>
      </w:r>
      <w:r w:rsidRPr="0001323D">
        <w:t xml:space="preserve"> included masking of undetected probes using a p-value threshold of 1</w:t>
      </w:r>
      <w:r w:rsidR="00E94962">
        <w:t>E</w:t>
      </w:r>
      <w:r w:rsidRPr="0001323D">
        <w:t>-10, dye bias correction using the RELIC method</w:t>
      </w:r>
      <w:r w:rsidR="00D63BD0">
        <w:t xml:space="preserve"> </w:t>
      </w:r>
      <w:r w:rsidR="00D63BD0">
        <w:fldChar w:fldCharType="begin" w:fldLock="1"/>
      </w:r>
      <w:r w:rsidR="002755CC">
        <w:instrText>ADDIN CSL_CITATION {"citationItems":[{"id":"ITEM-1","itemData":{"DOI":"10.1186/s12864-016-3426-3","ISSN":"1471-2164 (Electronic)","PMID":"28049437","abstract":"BACKGROUND: The Illumina Infinium HumanMethylation450 BeadChip and its successor, Infinium MethylationEPIC BeadChip, have been extensively utilized in epigenome-wide association studies. Both arrays use two fluorescent dyes (Cy3-green/Cy5-red) to measure methylation level at CpG sites. However, performance difference between dyes can result in biased estimates of methylation levels. RESULTS: Here we describe a novel method, called REgression on Logarithm of Internal Control probes (RELIC) to correct for dye bias on whole array by utilizing the intensity values of paired internal control probes that monitor the two color channels. We evaluate the method in several datasets against other widely used dye- bias correction methods. Results on data quality improvement showed that RELIC correction statistically significantly outperforms alternative dye- bias correction methods. We incorporated the method into the R package ENmix, which is freely available from the Bioconductor website ( https://www.bioconductor.org/packages/release/bioc/html/ENmix.html ). CONCLUSIONS: RELIC is an efficient and robust method to correct for dye- bias in Illumina Methylation BeadChip data. It outperforms other alternative methods and conveniently implemented in R package ENmix to facilitate DNA methylation studies.","author":[{"dropping-particle":"","family":"Xu","given":"Zongli","non-dropping-particle":"","parse-names":false,"suffix":""},{"dropping-particle":"","family":"Langie","given":"Sabine A S","non-dropping-particle":"","parse-names":false,"suffix":""},{"dropping-particle":"","family":"Boever","given":"Patrick","non-dropping-particle":"De","parse-names":false,"suffix":""},{"dropping-particle":"","family":"Taylor","given":"Jack A","non-dropping-particle":"","parse-names":false,"suffix":""},{"dropping-particle":"","family":"Niu","given":"Liang","non-dropping-particle":"","parse-names":false,"suffix":""}],"container-title":"BMC genomics","id":"ITEM-1","issue":"1","issued":{"date-parts":[["2017","1"]]},"language":"eng","page":"4","publisher-place":"England","title":"RELIC: a novel dye-bias correction method for Illumina Methylation BeadChip.","type":"article-journal","volume":"18"},"uris":["http://www.mendeley.com/documents/?uuid=51a00146-bba3-4191-8586-4f07a3f3f5c9"]}],"mendeley":{"formattedCitation":"&lt;span style=\"baseline\"&gt;(37)&lt;/span&gt;","plainTextFormattedCitation":"(37)","previouslyFormattedCitation":"&lt;span style=\"baseline\"&gt;(36)&lt;/span&gt;"},"properties":{"noteIndex":0},"schema":"https://github.com/citation-style-language/schema/raw/master/csl-citation.json"}</w:instrText>
      </w:r>
      <w:r w:rsidR="00D63BD0">
        <w:fldChar w:fldCharType="separate"/>
      </w:r>
      <w:r w:rsidR="002755CC" w:rsidRPr="002755CC">
        <w:rPr>
          <w:noProof/>
        </w:rPr>
        <w:t>(37)</w:t>
      </w:r>
      <w:r w:rsidR="00D63BD0">
        <w:fldChar w:fldCharType="end"/>
      </w:r>
      <w:r w:rsidRPr="0001323D">
        <w:t>, and normali</w:t>
      </w:r>
      <w:r w:rsidR="00E94962">
        <w:t>s</w:t>
      </w:r>
      <w:r w:rsidRPr="0001323D">
        <w:t>ation as previously described</w:t>
      </w:r>
      <w:r w:rsidR="00D63BD0">
        <w:t xml:space="preserve"> </w:t>
      </w:r>
      <w:r w:rsidR="00D63BD0">
        <w:fldChar w:fldCharType="begin" w:fldLock="1"/>
      </w:r>
      <w:r w:rsidR="002755CC">
        <w:instrText>ADDIN CSL_CITATION {"citationItems":[{"id":"ITEM-1","itemData":{"DOI":"10.3389/fgene.2015.00092","ISSN":"1664-8021 (Print)","PMID":"25806048","abstract":"The Illumina Infinium HumanMethylation450 BeadChip is frequently used in epigenetic research. Besides quantile normalization there is currently no standard method to normalize the data between arrays. We describe some properties of the data generated by this platform and present a normalization method based on local regression. We compare the performance of this method with other commonly used approaches in three benchmarks (correlation between 21 pairs of technical replicates, detection of differential methylation and correlation of methylation levels for smoking-associated CpG sites with smoking behavior of 655 participants of an epidemiological study). Results indicate that the proposed method improves reproducibility, whereas some commonly used methods can have adverse effects.","author":[{"dropping-particle":"","family":"Heiss","given":"Jonathan A","non-dropping-particle":"","parse-names":false,"suffix":""},{"dropping-particle":"","family":"Brenner","given":"Hermann","non-dropping-particle":"","parse-names":false,"suffix":""}],"container-title":"Frontiers in genetics","id":"ITEM-1","issued":{"date-parts":[["2015"]]},"language":"eng","page":"92","publisher-place":"Switzerland","title":"Between-array normalization for 450K data.","type":"article-journal","volume":"6"},"uris":["http://www.mendeley.com/documents/?uuid=76a2c743-47c7-4b1e-830b-e87485d179e4"]}],"mendeley":{"formattedCitation":"&lt;span style=\"baseline\"&gt;(38)&lt;/span&gt;","plainTextFormattedCitation":"(38)","previouslyFormattedCitation":"&lt;span style=\"baseline\"&gt;(37)&lt;/span&gt;"},"properties":{"noteIndex":0},"schema":"https://github.com/citation-style-language/schema/raw/master/csl-citation.json"}</w:instrText>
      </w:r>
      <w:r w:rsidR="00D63BD0">
        <w:fldChar w:fldCharType="separate"/>
      </w:r>
      <w:r w:rsidR="002755CC" w:rsidRPr="002755CC">
        <w:rPr>
          <w:noProof/>
        </w:rPr>
        <w:t>(38)</w:t>
      </w:r>
      <w:r w:rsidR="00D63BD0">
        <w:fldChar w:fldCharType="end"/>
      </w:r>
      <w:r w:rsidRPr="0001323D">
        <w:t xml:space="preserve">. Cell types (B-cell, natural killer cell, CD4 T-cell, CD8 T-cell, granulocytes, monocytes, and nucleated red blood cells) were computed using the </w:t>
      </w:r>
      <w:proofErr w:type="spellStart"/>
      <w:r w:rsidRPr="00E94962">
        <w:rPr>
          <w:i/>
        </w:rPr>
        <w:t>minfi</w:t>
      </w:r>
      <w:proofErr w:type="spellEnd"/>
      <w:r w:rsidRPr="0001323D">
        <w:t xml:space="preserve"> package with cord blood as the reference. </w:t>
      </w:r>
    </w:p>
    <w:p w14:paraId="5E2AB297" w14:textId="3A48FFC4" w:rsidR="0001323D" w:rsidRDefault="0001323D" w:rsidP="0001323D">
      <w:r w:rsidRPr="0001323D">
        <w:t>Covariates were collected from 2nd and 3rd trimester baseline questionnaires or from field measurements at birth. Age of mother at intake was recorded in years. Gestational age (in weeks) at birth and at the 3rd trimester haemoglobin measurement were calculated based on the last menstrual period. Maternal education was categori</w:t>
      </w:r>
      <w:r w:rsidR="00E94962">
        <w:t>s</w:t>
      </w:r>
      <w:r w:rsidRPr="0001323D">
        <w:t>ed into three groups (less than high school, high school, and more than high school) and parity was dichotom</w:t>
      </w:r>
      <w:r w:rsidR="00E94962">
        <w:t>is</w:t>
      </w:r>
      <w:r w:rsidRPr="0001323D">
        <w:t>ed (</w:t>
      </w:r>
      <w:proofErr w:type="spellStart"/>
      <w:r w:rsidRPr="0001323D">
        <w:t>primi</w:t>
      </w:r>
      <w:proofErr w:type="spellEnd"/>
      <w:r w:rsidRPr="0001323D">
        <w:t xml:space="preserve">- or multi-parous). Very few women smoked during pregnancy (n = 2) and were excluded from the analysis. Instead, environmental tobacco smoke was assessed via questionnaire in the 3rd trimester as either present or absent from home. </w:t>
      </w:r>
      <w:r w:rsidR="00E94962" w:rsidRPr="0001323D">
        <w:t>Bisulphite</w:t>
      </w:r>
      <w:r w:rsidRPr="0001323D">
        <w:t xml:space="preserve"> conversion plate was used as a batch covariate.</w:t>
      </w:r>
    </w:p>
    <w:p w14:paraId="1D88C4F7" w14:textId="4BFA32F8" w:rsidR="006C0A7D" w:rsidRDefault="006C0A7D" w:rsidP="006C0A7D">
      <w:pPr>
        <w:pStyle w:val="Heading2"/>
      </w:pPr>
      <w:r>
        <w:t>Acknowledgements</w:t>
      </w:r>
    </w:p>
    <w:p w14:paraId="4CE37706" w14:textId="5AA63A29" w:rsidR="006C0A7D" w:rsidRDefault="006C0A7D" w:rsidP="0001323D">
      <w:r w:rsidRPr="006C0A7D">
        <w:t>This work was supported by the National Institute of Environmental Health Sciences [R01ES021357, P30ES009089, P30ES023515, R24ES028522, R01ES021357, and R00ES023450].</w:t>
      </w:r>
    </w:p>
    <w:p w14:paraId="743DB968" w14:textId="77777777" w:rsidR="00667E49" w:rsidRDefault="00667E49" w:rsidP="00CA7657">
      <w:r>
        <w:br w:type="page"/>
      </w:r>
    </w:p>
    <w:p w14:paraId="7EFEBADF" w14:textId="01FD3518" w:rsidR="00503344" w:rsidRDefault="000E0267" w:rsidP="00CA7657">
      <w:pPr>
        <w:pStyle w:val="Heading1"/>
      </w:pPr>
      <w:r>
        <w:lastRenderedPageBreak/>
        <w:t>Raine Study</w:t>
      </w:r>
    </w:p>
    <w:p w14:paraId="0D53F307" w14:textId="13CF1146" w:rsidR="00F1530B" w:rsidRDefault="00F1530B" w:rsidP="00CA7657">
      <w:r>
        <w:t>The RAINE Study enrolled pregnant women ≤18 weeks gestation (1989-1991) through the antenatal clinic at King Edward Memorial Hospital and nearby private clinics in Perth, Western Australia</w:t>
      </w:r>
      <w:r w:rsidR="00D63BD0">
        <w:t xml:space="preserve"> </w:t>
      </w:r>
      <w:r w:rsidR="00D63BD0">
        <w:fldChar w:fldCharType="begin" w:fldLock="1"/>
      </w:r>
      <w:r w:rsidR="002755CC">
        <w:instrText>ADDIN CSL_CITATION {"citationItems":[{"id":"ITEM-1","itemData":{"DOI":"10.1016/0140-6736(93)91944-h","ISSN":"0140-6736 (Print)","PMID":"8105165","abstract":"Despite widespread application of ultrasound imaging and Doppler blood flow studies, the effects of their frequent and repeated use in pregnancy have not been evaluated in controlled trials. From 2834 women with single pregnancies at 16-20 weeks gestation, 1415 were selected at random to receive ultrasound imaging and continuous-wave Doppler flow studies at 18, 24, 28, 34, and 38 weeks gestation (the intensive group) and 1419 to receive single ultrasound imaging at 18 weeks (the regular group). Outcome data was obtained from 99% of women who entered the study. The only difference between the two groups was significantly higher intrauterine growth restriction in the intensive group, when expressed both as birthweight &lt; 10th centile (relative risk 1.35; 95% confidence interval 1.09 to 1.67; p = 0.006) and birthweight &lt; 3rd centile (relative risk 1.65; 95% confidence intervals 1.09 to 2.49; p = 0.020). While it is possible that this finding was a chance effect, it is also plausible that frequent exposure to ultrasound may have influenced fetal growth. Repeated prenatal ultrasound imaging and Doppler flow examinations should be restricted to those women to whom the information is likely to be of clinical benefit.","author":[{"dropping-particle":"","family":"Newnham","given":"J P","non-dropping-particle":"","parse-names":false,"suffix":""},{"dropping-particle":"","family":"Evans","given":"S F","non-dropping-particle":"","parse-names":false,"suffix":""},{"dropping-particle":"","family":"Michael","given":"C A","non-dropping-particle":"","parse-names":false,"suffix":""},{"dropping-particle":"","family":"Stanley","given":"F J","non-dropping-particle":"","parse-names":false,"suffix":""},{"dropping-particle":"","family":"Landau","given":"L I","non-dropping-particle":"","parse-names":false,"suffix":""}],"container-title":"Lancet (London, England)","id":"ITEM-1","issue":"8876","issued":{"date-parts":[["1993","10"]]},"language":"eng","page":"887-891","publisher-place":"England","title":"Effects of frequent ultrasound during pregnancy: a randomised controlled trial.","type":"article-journal","volume":"342"},"uris":["http://www.mendeley.com/documents/?uuid=8e584d60-cd94-4978-901f-1bdff80df4b1"]},{"id":"ITEM-2","itemData":{"DOI":"10.1093/ije/dyw308","ISSN":"1464-3685 (Electronic)","PMID":"28064197","author":[{"dropping-particle":"","family":"Straker","given":"Leon","non-dropping-particle":"","parse-names":false,"suffix":""},{"dropping-particle":"","family":"Mountain","given":"Jenny","non-dropping-particle":"","parse-names":false,"suffix":""},{"dropping-particle":"","family":"Jacques","given":"Angela","non-dropping-particle":"","parse-names":false,"suffix":""},{"dropping-particle":"","family":"White","given":"Scott","non-dropping-particle":"","parse-names":false,"suffix":""},{"dropping-particle":"","family":"Smith","given":"Anne","non-dropping-particle":"","parse-names":false,"suffix":""},{"dropping-particle":"","family":"Landau","given":"Louis","non-dropping-particle":"","parse-names":false,"suffix":""},{"dropping-particle":"","family":"Stanley","given":"Fiona","non-dropping-particle":"","parse-names":false,"suffix":""},{"dropping-particle":"","family":"Newnham","given":"John","non-dropping-particle":"","parse-names":false,"suffix":""},{"dropping-particle":"","family":"Pennell","given":"Craig","non-dropping-particle":"","parse-names":false,"suffix":""},{"dropping-particle":"","family":"Eastwood","given":"Peter","non-dropping-particle":"","parse-names":false,"suffix":""}],"container-title":"International journal of epidemiology","id":"ITEM-2","issue":"5","issued":{"date-parts":[["2017","10"]]},"language":"eng","page":"1384-1385j","publisher-place":"England","title":"Cohort Profile: The Western Australian Pregnancy Cohort (Raine) Study- Generation 2.","type":"article-journal","volume":"46"},"uris":["http://www.mendeley.com/documents/?uuid=eb35924f-9010-432f-8ee5-52a8a36a6746"]}],"mendeley":{"formattedCitation":"&lt;span style=\"baseline\"&gt;(39,40)&lt;/span&gt;","plainTextFormattedCitation":"(39,40)","previouslyFormattedCitation":"&lt;span style=\"baseline\"&gt;(38,39)&lt;/span&gt;"},"properties":{"noteIndex":0},"schema":"https://github.com/citation-style-language/schema/raw/master/csl-citation.json"}</w:instrText>
      </w:r>
      <w:r w:rsidR="00D63BD0">
        <w:fldChar w:fldCharType="separate"/>
      </w:r>
      <w:r w:rsidR="002755CC" w:rsidRPr="002755CC">
        <w:rPr>
          <w:noProof/>
        </w:rPr>
        <w:t>(39,40)</w:t>
      </w:r>
      <w:r w:rsidR="00D63BD0">
        <w:fldChar w:fldCharType="end"/>
      </w:r>
      <w:r>
        <w:t xml:space="preserve">. Detailed clinical assessments were performed at birth (n=2,868) and the children followed up at multiple time points including at 17 years of age, when a blood sample, anthropometric measures, and questionnaires were collected. The Human Ethics Committees of King Edward Memorial Hospital and Princess Margaret Hospital approved all protocols. </w:t>
      </w:r>
    </w:p>
    <w:p w14:paraId="689F0A50" w14:textId="4D4716E8" w:rsidR="008C7454" w:rsidRDefault="00F1530B" w:rsidP="00CA7657">
      <w:r>
        <w:t xml:space="preserve">DNA methylation was recoded on Illumina HumanMethlation450K array for 1,192 subjects obtained at the </w:t>
      </w:r>
      <w:r w:rsidR="008C7454">
        <w:t>17-year-old</w:t>
      </w:r>
      <w:r>
        <w:t xml:space="preserve"> follow</w:t>
      </w:r>
      <w:r w:rsidR="008C7454">
        <w:t>-</w:t>
      </w:r>
      <w:r>
        <w:t xml:space="preserve">up. 58 technical replicates were excluded. DNA methylation beta-values were normalized using Beta-mixture quantile dilation (BMIQ) as described </w:t>
      </w:r>
      <w:r w:rsidRPr="000D1B75">
        <w:t>by</w:t>
      </w:r>
      <w:r w:rsidR="00D63BD0">
        <w:t xml:space="preserve"> </w:t>
      </w:r>
      <w:r w:rsidR="00D63BD0">
        <w:fldChar w:fldCharType="begin" w:fldLock="1"/>
      </w:r>
      <w:r w:rsidR="002755CC">
        <w:instrText>ADDIN CSL_CITATION {"citationItems":[{"id":"ITEM-1","itemData":{"DOI":"10.1093/bioinformatics/bts680","ISSN":"1367-4811 (Electronic)","PMID":"23175756","abstract":"MOTIVATION: The Illumina Infinium 450 k DNA Methylation Beadchip is a prime candidate technology for Epigenome-Wide Association Studies (EWAS). However, a difficulty associated with these beadarrays is that probes come in two different designs, characterized by widely different DNA methylation distributions and dynamic range, which may bias downstream analyses. A key statistical issue is therefore how best to adjust for the two different probe designs. RESULTS: Here we propose a novel model-based intra-array normalization strategy for 450 k data, called BMIQ (Beta MIxture Quantile dilation), to adjust the beta-values of type2 design probes into a statistical distribution characteristic of type1 probes. The strategy involves application of a three-state beta-mixture model to assign probes to methylation states, subsequent transformation of probabilities into quantiles and finally a methylation-dependent dilation transformation to preserve the monotonicity and continuity of the data. We validate our method on cell-line data, fresh frozen and paraffin- embedded tumour tissue samples and demonstrate that BMIQ compares favourably with two competing methods. Specifically, we show that BMIQ improves the robustness of the normalization procedure, reduces the technical variation and bias of type2 probe values and successfully eliminates the type1 enrichment bias caused by the lower dynamic range of type2 probes. BMIQ will be useful as a preprocessing step for any study using the Illumina Infinium 450 k platform. AVAILABILITY: BMIQ is freely available from http://code.google.com/p/bmiq/. CONTACT: a.teschendorff@ucl.ac.uk SUPPLEMENTARY INFORMATION: Supplementary data are available at Bioinformatics online.","author":[{"dropping-particle":"","family":"Teschendorff","given":"Andrew E","non-dropping-particle":"","parse-names":false,"suffix":""},{"dropping-particle":"","family":"Marabita","given":"Francesco","non-dropping-particle":"","parse-names":false,"suffix":""},{"dropping-particle":"","family":"Lechner","given":"Matthias","non-dropping-particle":"","parse-names":false,"suffix":""},{"dropping-particle":"","family":"Bartlett","given":"Thomas","non-dropping-particle":"","parse-names":false,"suffix":""},{"dropping-particle":"","family":"Tegner","given":"Jesper","non-dropping-particle":"","parse-names":false,"suffix":""},{"dropping-particle":"","family":"Gomez-Cabrero","given":"David","non-dropping-particle":"","parse-names":false,"suffix":""},{"dropping-particle":"","family":"Beck","given":"Stephan","non-dropping-particle":"","parse-names":false,"suffix":""}],"container-title":"Bioinformatics (Oxford, England)","id":"ITEM-1","issue":"2","issued":{"date-parts":[["2013","1"]]},"language":"eng","page":"189-196","publisher-place":"England","title":"A beta-mixture quantile normalization method for correcting probe design bias in Illumina Infinium 450 k DNA methylation data.","type":"article-journal","volume":"29"},"uris":["http://www.mendeley.com/documents/?uuid=b5749d24-33ab-4e7e-a561-67b373384132"]}],"mendeley":{"formattedCitation":"&lt;span style=\"baseline\"&gt;(41)&lt;/span&gt;","plainTextFormattedCitation":"(41)","previouslyFormattedCitation":"&lt;span style=\"baseline\"&gt;(40)&lt;/span&gt;"},"properties":{"noteIndex":0},"schema":"https://github.com/citation-style-language/schema/raw/master/csl-citation.json"}</w:instrText>
      </w:r>
      <w:r w:rsidR="00D63BD0">
        <w:fldChar w:fldCharType="separate"/>
      </w:r>
      <w:r w:rsidR="002755CC" w:rsidRPr="002755CC">
        <w:rPr>
          <w:noProof/>
        </w:rPr>
        <w:t>(41)</w:t>
      </w:r>
      <w:r w:rsidR="00D63BD0">
        <w:fldChar w:fldCharType="end"/>
      </w:r>
      <w:r w:rsidRPr="000D1B75">
        <w:t>.</w:t>
      </w:r>
      <w:r>
        <w:t xml:space="preserve"> We excluded three samples that were identified as outliers and one sample for sex inconsistency. Methylation of genomic DNA was quantified using the Illumina HumanMethylation450 array and carried out at the Centre for Molecular Medicine and Therapeutics (</w:t>
      </w:r>
      <w:hyperlink r:id="rId14" w:history="1">
        <w:r w:rsidR="008C7454" w:rsidRPr="00D84FF1">
          <w:rPr>
            <w:rStyle w:val="Hyperlink"/>
          </w:rPr>
          <w:t>http://www.cmmt.ubc.ca</w:t>
        </w:r>
      </w:hyperlink>
      <w:r>
        <w:t>).</w:t>
      </w:r>
      <w:r w:rsidR="008C7454">
        <w:t xml:space="preserve"> Potential confounding effects of blood cell subtypes were estimated by the reference-based Houseman method</w:t>
      </w:r>
      <w:r w:rsidR="00D63BD0">
        <w:t xml:space="preserve"> </w:t>
      </w:r>
      <w:r w:rsidR="00D63BD0">
        <w:fldChar w:fldCharType="begin" w:fldLock="1"/>
      </w:r>
      <w:r w:rsidR="00D63BD0">
        <w:instrText>ADDIN CSL_CITATION {"citationItems":[{"id":"ITEM-1","itemData":{"DOI":"10.1186/1471-2105-13-86","ISSN":"1471-2105 (Electronic)","PMID":"22568884","abstract":"BACKGROUND: There has been a long-standing need in biomedical research for a method that quantifies the normally mixed composition of leukocytes beyond what is possible by simple histological or flow cytometric assessments. The latter is restricted by the labile nature of protein epitopes, requirements for cell processing, and timely cell analysis. In a diverse array of diseases and following numerous immune-toxic exposures, leukocyte composition will critically inform the underlying immuno-biology to most chronic medical conditions. Emerging research demonstrates that DNA methylation is responsible for cellular differentiation, and when measured in whole peripheral blood, serves to distinguish cancer cases from controls. RESULTS: Here we present a method, similar to regression calibration, for inferring changes in the distribution of white blood cells between different subpopulations (e.g. cases and controls) using DNA methylation signatures, in combination with a previously obtained external validation set consisting of signatures from purified leukocyte samples. We validate the fundamental idea in a cell mixture reconstruction experiment, then demonstrate our method on DNA methylation data sets from several studies, including data from a Head and Neck Squamous Cell Carcinoma (HNSCC) study and an ovarian cancer study. Our method produces results consistent with prior biological findings, thereby validating the approach. CONCLUSIONS: Our method, in combination with an appropriate external validation set, promises new opportunities for large-scale immunological studies of both disease states and noxious exposures.","author":[{"dropping-particle":"","family":"Houseman","given":"Eugene Andres","non-dropping-particle":"","parse-names":false,"suffix":""},{"dropping-particle":"","family":"Accomando","given":"William P","non-dropping-particle":"","parse-names":false,"suffix":""},{"dropping-particle":"","family":"Koestler","given":"Devin C","non-dropping-particle":"","parse-names":false,"suffix":""},{"dropping-particle":"","family":"Christensen","given":"Brock C","non-dropping-particle":"","parse-names":false,"suffix":""},{"dropping-particle":"","family":"Marsit","given":"Carmen J","non-dropping-particle":"","parse-names":false,"suffix":""},{"dropping-particle":"","family":"Nelson","given":"Heather H","non-dropping-particle":"","parse-names":false,"suffix":""},{"dropping-particle":"","family":"Wiencke","given":"John K","non-dropping-particle":"","parse-names":false,"suffix":""},{"dropping-particle":"","family":"Kelsey","given":"Karl T","non-dropping-particle":"","parse-names":false,"suffix":""}],"container-title":"BMC bioinformatics","id":"ITEM-1","issued":{"date-parts":[["2012","5"]]},"language":"eng","page":"86","publisher-place":"England","title":"DNA methylation arrays as surrogate measures of cell mixture distribution.","type":"article-journal","volume":"13"},"uris":["http://www.mendeley.com/documents/?uuid=a5f6c561-68a0-43ec-96fd-9ade37c06c37"]}],"mendeley":{"formattedCitation":"&lt;span style=\"baseline\"&gt;(10)&lt;/span&gt;","plainTextFormattedCitation":"(10)","previouslyFormattedCitation":"&lt;span style=\"baseline\"&gt;(10)&lt;/span&gt;"},"properties":{"noteIndex":0},"schema":"https://github.com/citation-style-language/schema/raw/master/csl-citation.json"}</w:instrText>
      </w:r>
      <w:r w:rsidR="00D63BD0">
        <w:fldChar w:fldCharType="separate"/>
      </w:r>
      <w:r w:rsidR="00D63BD0" w:rsidRPr="00D63BD0">
        <w:rPr>
          <w:noProof/>
        </w:rPr>
        <w:t>(10)</w:t>
      </w:r>
      <w:r w:rsidR="00D63BD0">
        <w:fldChar w:fldCharType="end"/>
      </w:r>
      <w:r w:rsidR="008C7454">
        <w:t>. To account for potential batch effects, plate and row number included in all statistical models as covariates.</w:t>
      </w:r>
    </w:p>
    <w:p w14:paraId="695170B4" w14:textId="77777777" w:rsidR="00CB7225" w:rsidRDefault="00F1530B" w:rsidP="00CA7657">
      <w:r>
        <w:t xml:space="preserve">Data on maternal age, maternal education level, parity and maternal smoking during pregnancy were assessed by questionnaires at </w:t>
      </w:r>
      <w:r w:rsidR="008C7454">
        <w:t>18- and 34-weeks</w:t>
      </w:r>
      <w:r>
        <w:t xml:space="preserve"> pregnancy. Height and weight were measured with light clothing and without shoes. Height was measured with </w:t>
      </w:r>
      <w:proofErr w:type="spellStart"/>
      <w:r>
        <w:t>Holtain</w:t>
      </w:r>
      <w:proofErr w:type="spellEnd"/>
      <w:r>
        <w:t xml:space="preserve"> </w:t>
      </w:r>
      <w:proofErr w:type="spellStart"/>
      <w:r>
        <w:t>Infantometer</w:t>
      </w:r>
      <w:proofErr w:type="spellEnd"/>
      <w:r>
        <w:t xml:space="preserve"> and Stadiometer (to the nearest 0.1 cm), and weight was measured on </w:t>
      </w:r>
      <w:proofErr w:type="spellStart"/>
      <w:r>
        <w:t>Wedderburn</w:t>
      </w:r>
      <w:proofErr w:type="spellEnd"/>
      <w:r>
        <w:t xml:space="preserve"> Scales (to the nearest 100 g). Smoking at adolescence was obtained by questionnaire at age 17. Maternal education is based the following categories:  0=None, 1=Trade certificate or apprenticeship, 2=Professional registration (non-degree), 3=College diploma or degree, 4= University degree, 5=Other</w:t>
      </w:r>
      <w:r w:rsidR="008C7454">
        <w:t xml:space="preserve">. </w:t>
      </w:r>
      <w:r>
        <w:t>We did not include information on gestational age at measurement, as we did not have that data.</w:t>
      </w:r>
      <w:r w:rsidR="008C7454">
        <w:t xml:space="preserve"> </w:t>
      </w:r>
      <w:r>
        <w:t xml:space="preserve">To account for </w:t>
      </w:r>
      <w:r w:rsidR="002C7ABD">
        <w:t>ancestry,</w:t>
      </w:r>
      <w:r>
        <w:t xml:space="preserve"> we used the first two principal components from our GWAS as covariates in all models.</w:t>
      </w:r>
    </w:p>
    <w:p w14:paraId="6CFBDE47" w14:textId="77777777" w:rsidR="00CB7225" w:rsidRDefault="00CB7225" w:rsidP="00CB7225">
      <w:pPr>
        <w:pStyle w:val="Heading2"/>
      </w:pPr>
      <w:r>
        <w:lastRenderedPageBreak/>
        <w:t>Acknowledgements</w:t>
      </w:r>
    </w:p>
    <w:p w14:paraId="385B96CC" w14:textId="4D1361D5" w:rsidR="00667E49" w:rsidRDefault="00310856" w:rsidP="00310856">
      <w:r>
        <w:t xml:space="preserve">RCH is supported by the National Health and Medical Research Council Fellowship Grants 1053384. SR is supported by National Health and Medical Research Council EU grant (1142858) and the Department of Health, Western Australia </w:t>
      </w:r>
      <w:proofErr w:type="spellStart"/>
      <w:r>
        <w:t>FutureHealth</w:t>
      </w:r>
      <w:proofErr w:type="spellEnd"/>
      <w:r>
        <w:t xml:space="preserve"> fund in connection with the European Union’s Horizon2020 grant 733206.</w:t>
      </w:r>
      <w:r w:rsidR="00667E49">
        <w:br w:type="page"/>
      </w:r>
    </w:p>
    <w:p w14:paraId="2CB4F3FE" w14:textId="259DFEEC" w:rsidR="00D63BD0" w:rsidRPr="00F774A6" w:rsidRDefault="00B35B16" w:rsidP="00D63BD0">
      <w:pPr>
        <w:pStyle w:val="Heading1"/>
      </w:pPr>
      <w:bookmarkStart w:id="6" w:name="_Hlk25227993"/>
      <w:r>
        <w:lastRenderedPageBreak/>
        <w:t>References</w:t>
      </w:r>
      <w:bookmarkEnd w:id="6"/>
    </w:p>
    <w:p w14:paraId="2B00A5BF" w14:textId="18B69131" w:rsidR="002755CC" w:rsidRPr="002755CC" w:rsidRDefault="00D63BD0" w:rsidP="002755CC">
      <w:pPr>
        <w:widowControl w:val="0"/>
        <w:autoSpaceDE w:val="0"/>
        <w:autoSpaceDN w:val="0"/>
        <w:adjustRightInd w:val="0"/>
        <w:ind w:left="640" w:hanging="640"/>
        <w:rPr>
          <w:rFonts w:ascii="Calibri" w:hAnsi="Calibri" w:cs="Calibri"/>
          <w:noProof/>
          <w:szCs w:val="24"/>
        </w:rPr>
      </w:pPr>
      <w:r>
        <w:fldChar w:fldCharType="begin" w:fldLock="1"/>
      </w:r>
      <w:r>
        <w:instrText xml:space="preserve">ADDIN Mendeley Bibliography CSL_BIBLIOGRAPHY </w:instrText>
      </w:r>
      <w:r>
        <w:fldChar w:fldCharType="separate"/>
      </w:r>
      <w:r w:rsidR="002755CC" w:rsidRPr="002755CC">
        <w:rPr>
          <w:rFonts w:ascii="Calibri" w:hAnsi="Calibri" w:cs="Calibri"/>
          <w:noProof/>
          <w:szCs w:val="24"/>
        </w:rPr>
        <w:t>1.</w:t>
      </w:r>
      <w:r w:rsidR="002755CC" w:rsidRPr="002755CC">
        <w:rPr>
          <w:rFonts w:ascii="Calibri" w:hAnsi="Calibri" w:cs="Calibri"/>
          <w:noProof/>
          <w:szCs w:val="24"/>
        </w:rPr>
        <w:tab/>
        <w:t xml:space="preserve">Boyd, A., Golding, J., Macleod, J., et al. (2013) Cohort Profile: the ’children of the 90s’--the index offspring of the Avon Longitudinal Study of Parents and Children. </w:t>
      </w:r>
      <w:r w:rsidR="002755CC" w:rsidRPr="002755CC">
        <w:rPr>
          <w:rFonts w:ascii="Calibri" w:hAnsi="Calibri" w:cs="Calibri"/>
          <w:i/>
          <w:iCs/>
          <w:noProof/>
          <w:szCs w:val="24"/>
        </w:rPr>
        <w:t>Int. J. Epidemiol.</w:t>
      </w:r>
      <w:r w:rsidR="002755CC" w:rsidRPr="002755CC">
        <w:rPr>
          <w:rFonts w:ascii="Calibri" w:hAnsi="Calibri" w:cs="Calibri"/>
          <w:noProof/>
          <w:szCs w:val="24"/>
        </w:rPr>
        <w:t xml:space="preserve">, </w:t>
      </w:r>
      <w:r w:rsidR="002755CC" w:rsidRPr="002755CC">
        <w:rPr>
          <w:rFonts w:ascii="Calibri" w:hAnsi="Calibri" w:cs="Calibri"/>
          <w:b/>
          <w:bCs/>
          <w:noProof/>
          <w:szCs w:val="24"/>
        </w:rPr>
        <w:t>42</w:t>
      </w:r>
      <w:r w:rsidR="002755CC" w:rsidRPr="002755CC">
        <w:rPr>
          <w:rFonts w:ascii="Calibri" w:hAnsi="Calibri" w:cs="Calibri"/>
          <w:noProof/>
          <w:szCs w:val="24"/>
        </w:rPr>
        <w:t>, 111–127.</w:t>
      </w:r>
    </w:p>
    <w:p w14:paraId="52E34775" w14:textId="77777777" w:rsidR="002755CC" w:rsidRPr="002755CC" w:rsidRDefault="002755CC" w:rsidP="002755CC">
      <w:pPr>
        <w:widowControl w:val="0"/>
        <w:autoSpaceDE w:val="0"/>
        <w:autoSpaceDN w:val="0"/>
        <w:adjustRightInd w:val="0"/>
        <w:ind w:left="640" w:hanging="640"/>
        <w:rPr>
          <w:rFonts w:ascii="Calibri" w:hAnsi="Calibri" w:cs="Calibri"/>
          <w:noProof/>
          <w:szCs w:val="24"/>
        </w:rPr>
      </w:pPr>
      <w:r w:rsidRPr="002755CC">
        <w:rPr>
          <w:rFonts w:ascii="Calibri" w:hAnsi="Calibri" w:cs="Calibri"/>
          <w:noProof/>
          <w:szCs w:val="24"/>
        </w:rPr>
        <w:t>2.</w:t>
      </w:r>
      <w:r w:rsidRPr="002755CC">
        <w:rPr>
          <w:rFonts w:ascii="Calibri" w:hAnsi="Calibri" w:cs="Calibri"/>
          <w:noProof/>
          <w:szCs w:val="24"/>
        </w:rPr>
        <w:tab/>
        <w:t xml:space="preserve">Fraser, A., Macdonald-Wallis, C., Tilling, K., et al. (2013) Cohort Profile: the Avon Longitudinal Study of Parents and Children: ALSPAC mothers cohort. </w:t>
      </w:r>
      <w:r w:rsidRPr="002755CC">
        <w:rPr>
          <w:rFonts w:ascii="Calibri" w:hAnsi="Calibri" w:cs="Calibri"/>
          <w:i/>
          <w:iCs/>
          <w:noProof/>
          <w:szCs w:val="24"/>
        </w:rPr>
        <w:t>Int. J. Epidemiol.</w:t>
      </w:r>
      <w:r w:rsidRPr="002755CC">
        <w:rPr>
          <w:rFonts w:ascii="Calibri" w:hAnsi="Calibri" w:cs="Calibri"/>
          <w:noProof/>
          <w:szCs w:val="24"/>
        </w:rPr>
        <w:t xml:space="preserve">, </w:t>
      </w:r>
      <w:r w:rsidRPr="002755CC">
        <w:rPr>
          <w:rFonts w:ascii="Calibri" w:hAnsi="Calibri" w:cs="Calibri"/>
          <w:b/>
          <w:bCs/>
          <w:noProof/>
          <w:szCs w:val="24"/>
        </w:rPr>
        <w:t>42</w:t>
      </w:r>
      <w:r w:rsidRPr="002755CC">
        <w:rPr>
          <w:rFonts w:ascii="Calibri" w:hAnsi="Calibri" w:cs="Calibri"/>
          <w:noProof/>
          <w:szCs w:val="24"/>
        </w:rPr>
        <w:t>, 97–110.</w:t>
      </w:r>
    </w:p>
    <w:p w14:paraId="743940BF" w14:textId="77777777" w:rsidR="002755CC" w:rsidRPr="002755CC" w:rsidRDefault="002755CC" w:rsidP="002755CC">
      <w:pPr>
        <w:widowControl w:val="0"/>
        <w:autoSpaceDE w:val="0"/>
        <w:autoSpaceDN w:val="0"/>
        <w:adjustRightInd w:val="0"/>
        <w:ind w:left="640" w:hanging="640"/>
        <w:rPr>
          <w:rFonts w:ascii="Calibri" w:hAnsi="Calibri" w:cs="Calibri"/>
          <w:noProof/>
          <w:szCs w:val="24"/>
        </w:rPr>
      </w:pPr>
      <w:r w:rsidRPr="002755CC">
        <w:rPr>
          <w:rFonts w:ascii="Calibri" w:hAnsi="Calibri" w:cs="Calibri"/>
          <w:noProof/>
          <w:szCs w:val="24"/>
        </w:rPr>
        <w:t>3.</w:t>
      </w:r>
      <w:r w:rsidRPr="002755CC">
        <w:rPr>
          <w:rFonts w:ascii="Calibri" w:hAnsi="Calibri" w:cs="Calibri"/>
          <w:noProof/>
          <w:szCs w:val="24"/>
        </w:rPr>
        <w:tab/>
        <w:t xml:space="preserve">Relton, C. L., Gaunt, T., McArdle, W., et al. (2015) Data Resource Profile: Accessible Resource for Integrated Epigenomic Studies (ARIES). </w:t>
      </w:r>
      <w:r w:rsidRPr="002755CC">
        <w:rPr>
          <w:rFonts w:ascii="Calibri" w:hAnsi="Calibri" w:cs="Calibri"/>
          <w:i/>
          <w:iCs/>
          <w:noProof/>
          <w:szCs w:val="24"/>
        </w:rPr>
        <w:t>Int. J. Epidemiol.</w:t>
      </w:r>
      <w:r w:rsidRPr="002755CC">
        <w:rPr>
          <w:rFonts w:ascii="Calibri" w:hAnsi="Calibri" w:cs="Calibri"/>
          <w:noProof/>
          <w:szCs w:val="24"/>
        </w:rPr>
        <w:t xml:space="preserve">, </w:t>
      </w:r>
      <w:r w:rsidRPr="002755CC">
        <w:rPr>
          <w:rFonts w:ascii="Calibri" w:hAnsi="Calibri" w:cs="Calibri"/>
          <w:b/>
          <w:bCs/>
          <w:noProof/>
          <w:szCs w:val="24"/>
        </w:rPr>
        <w:t>44</w:t>
      </w:r>
      <w:r w:rsidRPr="002755CC">
        <w:rPr>
          <w:rFonts w:ascii="Calibri" w:hAnsi="Calibri" w:cs="Calibri"/>
          <w:noProof/>
          <w:szCs w:val="24"/>
        </w:rPr>
        <w:t>, 1181–1190.</w:t>
      </w:r>
    </w:p>
    <w:p w14:paraId="5375D925" w14:textId="77777777" w:rsidR="002755CC" w:rsidRPr="002755CC" w:rsidRDefault="002755CC" w:rsidP="002755CC">
      <w:pPr>
        <w:widowControl w:val="0"/>
        <w:autoSpaceDE w:val="0"/>
        <w:autoSpaceDN w:val="0"/>
        <w:adjustRightInd w:val="0"/>
        <w:ind w:left="640" w:hanging="640"/>
        <w:rPr>
          <w:rFonts w:ascii="Calibri" w:hAnsi="Calibri" w:cs="Calibri"/>
          <w:noProof/>
          <w:szCs w:val="24"/>
        </w:rPr>
      </w:pPr>
      <w:r w:rsidRPr="002755CC">
        <w:rPr>
          <w:rFonts w:ascii="Calibri" w:hAnsi="Calibri" w:cs="Calibri"/>
          <w:noProof/>
          <w:szCs w:val="24"/>
        </w:rPr>
        <w:t>4.</w:t>
      </w:r>
      <w:r w:rsidRPr="002755CC">
        <w:rPr>
          <w:rFonts w:ascii="Calibri" w:hAnsi="Calibri" w:cs="Calibri"/>
          <w:noProof/>
          <w:szCs w:val="24"/>
        </w:rPr>
        <w:tab/>
        <w:t xml:space="preserve">Min, J. L., Hemani, G., Davey Smith, G., et al. (2018) Meffil: efficient normalization and analysis of very large DNA methylation datasets. </w:t>
      </w:r>
      <w:r w:rsidRPr="002755CC">
        <w:rPr>
          <w:rFonts w:ascii="Calibri" w:hAnsi="Calibri" w:cs="Calibri"/>
          <w:i/>
          <w:iCs/>
          <w:noProof/>
          <w:szCs w:val="24"/>
        </w:rPr>
        <w:t>Bioinformatics</w:t>
      </w:r>
      <w:r w:rsidRPr="002755CC">
        <w:rPr>
          <w:rFonts w:ascii="Calibri" w:hAnsi="Calibri" w:cs="Calibri"/>
          <w:noProof/>
          <w:szCs w:val="24"/>
        </w:rPr>
        <w:t xml:space="preserve">, </w:t>
      </w:r>
      <w:r w:rsidRPr="002755CC">
        <w:rPr>
          <w:rFonts w:ascii="Calibri" w:hAnsi="Calibri" w:cs="Calibri"/>
          <w:b/>
          <w:bCs/>
          <w:noProof/>
          <w:szCs w:val="24"/>
        </w:rPr>
        <w:t>34</w:t>
      </w:r>
      <w:r w:rsidRPr="002755CC">
        <w:rPr>
          <w:rFonts w:ascii="Calibri" w:hAnsi="Calibri" w:cs="Calibri"/>
          <w:noProof/>
          <w:szCs w:val="24"/>
        </w:rPr>
        <w:t>, 3983–3989.</w:t>
      </w:r>
    </w:p>
    <w:p w14:paraId="6B1840B9" w14:textId="77777777" w:rsidR="002755CC" w:rsidRPr="002755CC" w:rsidRDefault="002755CC" w:rsidP="002755CC">
      <w:pPr>
        <w:widowControl w:val="0"/>
        <w:autoSpaceDE w:val="0"/>
        <w:autoSpaceDN w:val="0"/>
        <w:adjustRightInd w:val="0"/>
        <w:ind w:left="640" w:hanging="640"/>
        <w:rPr>
          <w:rFonts w:ascii="Calibri" w:hAnsi="Calibri" w:cs="Calibri"/>
          <w:noProof/>
          <w:szCs w:val="24"/>
        </w:rPr>
      </w:pPr>
      <w:r w:rsidRPr="002755CC">
        <w:rPr>
          <w:rFonts w:ascii="Calibri" w:hAnsi="Calibri" w:cs="Calibri"/>
          <w:noProof/>
          <w:szCs w:val="24"/>
        </w:rPr>
        <w:t>5.</w:t>
      </w:r>
      <w:r w:rsidRPr="002755CC">
        <w:rPr>
          <w:rFonts w:ascii="Calibri" w:hAnsi="Calibri" w:cs="Calibri"/>
          <w:noProof/>
          <w:szCs w:val="24"/>
        </w:rPr>
        <w:tab/>
        <w:t xml:space="preserve">Leek, J. T., Johnson, W. E., Parker, H. S., et al. (2012) The sva package for removing batch effects and other unwanted variation in high-throughput experiments. </w:t>
      </w:r>
      <w:r w:rsidRPr="002755CC">
        <w:rPr>
          <w:rFonts w:ascii="Calibri" w:hAnsi="Calibri" w:cs="Calibri"/>
          <w:i/>
          <w:iCs/>
          <w:noProof/>
          <w:szCs w:val="24"/>
        </w:rPr>
        <w:t>Bioinformatics</w:t>
      </w:r>
      <w:r w:rsidRPr="002755CC">
        <w:rPr>
          <w:rFonts w:ascii="Calibri" w:hAnsi="Calibri" w:cs="Calibri"/>
          <w:noProof/>
          <w:szCs w:val="24"/>
        </w:rPr>
        <w:t xml:space="preserve">, </w:t>
      </w:r>
      <w:r w:rsidRPr="002755CC">
        <w:rPr>
          <w:rFonts w:ascii="Calibri" w:hAnsi="Calibri" w:cs="Calibri"/>
          <w:b/>
          <w:bCs/>
          <w:noProof/>
          <w:szCs w:val="24"/>
        </w:rPr>
        <w:t>28</w:t>
      </w:r>
      <w:r w:rsidRPr="002755CC">
        <w:rPr>
          <w:rFonts w:ascii="Calibri" w:hAnsi="Calibri" w:cs="Calibri"/>
          <w:noProof/>
          <w:szCs w:val="24"/>
        </w:rPr>
        <w:t>, 882–883.</w:t>
      </w:r>
    </w:p>
    <w:p w14:paraId="1C77E2B5" w14:textId="77777777" w:rsidR="002755CC" w:rsidRPr="002755CC" w:rsidRDefault="002755CC" w:rsidP="002755CC">
      <w:pPr>
        <w:widowControl w:val="0"/>
        <w:autoSpaceDE w:val="0"/>
        <w:autoSpaceDN w:val="0"/>
        <w:adjustRightInd w:val="0"/>
        <w:ind w:left="640" w:hanging="640"/>
        <w:rPr>
          <w:rFonts w:ascii="Calibri" w:hAnsi="Calibri" w:cs="Calibri"/>
          <w:noProof/>
          <w:szCs w:val="24"/>
        </w:rPr>
      </w:pPr>
      <w:r w:rsidRPr="002755CC">
        <w:rPr>
          <w:rFonts w:ascii="Calibri" w:hAnsi="Calibri" w:cs="Calibri"/>
          <w:noProof/>
          <w:szCs w:val="24"/>
        </w:rPr>
        <w:t>6.</w:t>
      </w:r>
      <w:r w:rsidRPr="002755CC">
        <w:rPr>
          <w:rFonts w:ascii="Calibri" w:hAnsi="Calibri" w:cs="Calibri"/>
          <w:noProof/>
          <w:szCs w:val="24"/>
        </w:rPr>
        <w:tab/>
        <w:t xml:space="preserve">Heude, B., Forhan, A., Slama, R., et al. (2016) Cohort Profile: The EDEN mother-child cohort on the prenatal and early postnatal determinants of child health and development. </w:t>
      </w:r>
      <w:r w:rsidRPr="002755CC">
        <w:rPr>
          <w:rFonts w:ascii="Calibri" w:hAnsi="Calibri" w:cs="Calibri"/>
          <w:i/>
          <w:iCs/>
          <w:noProof/>
          <w:szCs w:val="24"/>
        </w:rPr>
        <w:t>Int. J. Epidemiol.</w:t>
      </w:r>
      <w:r w:rsidRPr="002755CC">
        <w:rPr>
          <w:rFonts w:ascii="Calibri" w:hAnsi="Calibri" w:cs="Calibri"/>
          <w:noProof/>
          <w:szCs w:val="24"/>
        </w:rPr>
        <w:t xml:space="preserve">, </w:t>
      </w:r>
      <w:r w:rsidRPr="002755CC">
        <w:rPr>
          <w:rFonts w:ascii="Calibri" w:hAnsi="Calibri" w:cs="Calibri"/>
          <w:b/>
          <w:bCs/>
          <w:noProof/>
          <w:szCs w:val="24"/>
        </w:rPr>
        <w:t>45</w:t>
      </w:r>
      <w:r w:rsidRPr="002755CC">
        <w:rPr>
          <w:rFonts w:ascii="Calibri" w:hAnsi="Calibri" w:cs="Calibri"/>
          <w:noProof/>
          <w:szCs w:val="24"/>
        </w:rPr>
        <w:t>, 353–363.</w:t>
      </w:r>
    </w:p>
    <w:p w14:paraId="3E410A01" w14:textId="77777777" w:rsidR="002755CC" w:rsidRPr="002755CC" w:rsidRDefault="002755CC" w:rsidP="002755CC">
      <w:pPr>
        <w:widowControl w:val="0"/>
        <w:autoSpaceDE w:val="0"/>
        <w:autoSpaceDN w:val="0"/>
        <w:adjustRightInd w:val="0"/>
        <w:ind w:left="640" w:hanging="640"/>
        <w:rPr>
          <w:rFonts w:ascii="Calibri" w:hAnsi="Calibri" w:cs="Calibri"/>
          <w:noProof/>
          <w:szCs w:val="24"/>
        </w:rPr>
      </w:pPr>
      <w:r w:rsidRPr="002755CC">
        <w:rPr>
          <w:rFonts w:ascii="Calibri" w:hAnsi="Calibri" w:cs="Calibri"/>
          <w:noProof/>
          <w:szCs w:val="24"/>
        </w:rPr>
        <w:t>7.</w:t>
      </w:r>
      <w:r w:rsidRPr="002755CC">
        <w:rPr>
          <w:rFonts w:ascii="Calibri" w:hAnsi="Calibri" w:cs="Calibri"/>
          <w:noProof/>
          <w:szCs w:val="24"/>
        </w:rPr>
        <w:tab/>
        <w:t xml:space="preserve">Aryee, M. J., Jaffe, A. E., Corrada-Bravo, H., et al. (2014) Minfi: a flexible and comprehensive Bioconductor package for the analysis of Infinium DNA methylation microarrays. </w:t>
      </w:r>
      <w:r w:rsidRPr="002755CC">
        <w:rPr>
          <w:rFonts w:ascii="Calibri" w:hAnsi="Calibri" w:cs="Calibri"/>
          <w:i/>
          <w:iCs/>
          <w:noProof/>
          <w:szCs w:val="24"/>
        </w:rPr>
        <w:t>Bioinformatics</w:t>
      </w:r>
      <w:r w:rsidRPr="002755CC">
        <w:rPr>
          <w:rFonts w:ascii="Calibri" w:hAnsi="Calibri" w:cs="Calibri"/>
          <w:noProof/>
          <w:szCs w:val="24"/>
        </w:rPr>
        <w:t xml:space="preserve">, </w:t>
      </w:r>
      <w:r w:rsidRPr="002755CC">
        <w:rPr>
          <w:rFonts w:ascii="Calibri" w:hAnsi="Calibri" w:cs="Calibri"/>
          <w:b/>
          <w:bCs/>
          <w:noProof/>
          <w:szCs w:val="24"/>
        </w:rPr>
        <w:t>30</w:t>
      </w:r>
      <w:r w:rsidRPr="002755CC">
        <w:rPr>
          <w:rFonts w:ascii="Calibri" w:hAnsi="Calibri" w:cs="Calibri"/>
          <w:noProof/>
          <w:szCs w:val="24"/>
        </w:rPr>
        <w:t>, 1363–1369.</w:t>
      </w:r>
    </w:p>
    <w:p w14:paraId="60299071" w14:textId="77777777" w:rsidR="002755CC" w:rsidRPr="002755CC" w:rsidRDefault="002755CC" w:rsidP="002755CC">
      <w:pPr>
        <w:widowControl w:val="0"/>
        <w:autoSpaceDE w:val="0"/>
        <w:autoSpaceDN w:val="0"/>
        <w:adjustRightInd w:val="0"/>
        <w:ind w:left="640" w:hanging="640"/>
        <w:rPr>
          <w:rFonts w:ascii="Calibri" w:hAnsi="Calibri" w:cs="Calibri"/>
          <w:noProof/>
          <w:szCs w:val="24"/>
        </w:rPr>
      </w:pPr>
      <w:r w:rsidRPr="002755CC">
        <w:rPr>
          <w:rFonts w:ascii="Calibri" w:hAnsi="Calibri" w:cs="Calibri"/>
          <w:noProof/>
          <w:szCs w:val="24"/>
        </w:rPr>
        <w:t>8.</w:t>
      </w:r>
      <w:r w:rsidRPr="002755CC">
        <w:rPr>
          <w:rFonts w:ascii="Calibri" w:hAnsi="Calibri" w:cs="Calibri"/>
          <w:noProof/>
          <w:szCs w:val="24"/>
        </w:rPr>
        <w:tab/>
        <w:t xml:space="preserve">Chen, Y., Lemire, M., Choufani, S., et al. (2013) Discovery of cross-reactive probes and polymorphic CpGs in the Illumina Infinium HumanMethylation450 microarray. </w:t>
      </w:r>
      <w:r w:rsidRPr="002755CC">
        <w:rPr>
          <w:rFonts w:ascii="Calibri" w:hAnsi="Calibri" w:cs="Calibri"/>
          <w:i/>
          <w:iCs/>
          <w:noProof/>
          <w:szCs w:val="24"/>
        </w:rPr>
        <w:t>Epigenetics</w:t>
      </w:r>
      <w:r w:rsidRPr="002755CC">
        <w:rPr>
          <w:rFonts w:ascii="Calibri" w:hAnsi="Calibri" w:cs="Calibri"/>
          <w:noProof/>
          <w:szCs w:val="24"/>
        </w:rPr>
        <w:t xml:space="preserve">, </w:t>
      </w:r>
      <w:r w:rsidRPr="002755CC">
        <w:rPr>
          <w:rFonts w:ascii="Calibri" w:hAnsi="Calibri" w:cs="Calibri"/>
          <w:b/>
          <w:bCs/>
          <w:noProof/>
          <w:szCs w:val="24"/>
        </w:rPr>
        <w:t>8</w:t>
      </w:r>
      <w:r w:rsidRPr="002755CC">
        <w:rPr>
          <w:rFonts w:ascii="Calibri" w:hAnsi="Calibri" w:cs="Calibri"/>
          <w:noProof/>
          <w:szCs w:val="24"/>
        </w:rPr>
        <w:t>, 203–209.</w:t>
      </w:r>
    </w:p>
    <w:p w14:paraId="35973537" w14:textId="77777777" w:rsidR="002755CC" w:rsidRPr="002755CC" w:rsidRDefault="002755CC" w:rsidP="002755CC">
      <w:pPr>
        <w:widowControl w:val="0"/>
        <w:autoSpaceDE w:val="0"/>
        <w:autoSpaceDN w:val="0"/>
        <w:adjustRightInd w:val="0"/>
        <w:ind w:left="640" w:hanging="640"/>
        <w:rPr>
          <w:rFonts w:ascii="Calibri" w:hAnsi="Calibri" w:cs="Calibri"/>
          <w:noProof/>
          <w:szCs w:val="24"/>
        </w:rPr>
      </w:pPr>
      <w:r w:rsidRPr="002755CC">
        <w:rPr>
          <w:rFonts w:ascii="Calibri" w:hAnsi="Calibri" w:cs="Calibri"/>
          <w:noProof/>
          <w:szCs w:val="24"/>
        </w:rPr>
        <w:t>9.</w:t>
      </w:r>
      <w:r w:rsidRPr="002755CC">
        <w:rPr>
          <w:rFonts w:ascii="Calibri" w:hAnsi="Calibri" w:cs="Calibri"/>
          <w:noProof/>
          <w:szCs w:val="24"/>
        </w:rPr>
        <w:tab/>
        <w:t xml:space="preserve">Pidsley, R., Y Wong, C. C., Volta, M., et al. (2013) A data-driven approach to preprocessing Illumina 450K methylation array data. </w:t>
      </w:r>
      <w:r w:rsidRPr="002755CC">
        <w:rPr>
          <w:rFonts w:ascii="Calibri" w:hAnsi="Calibri" w:cs="Calibri"/>
          <w:i/>
          <w:iCs/>
          <w:noProof/>
          <w:szCs w:val="24"/>
        </w:rPr>
        <w:t>BMC Genomics</w:t>
      </w:r>
      <w:r w:rsidRPr="002755CC">
        <w:rPr>
          <w:rFonts w:ascii="Calibri" w:hAnsi="Calibri" w:cs="Calibri"/>
          <w:noProof/>
          <w:szCs w:val="24"/>
        </w:rPr>
        <w:t xml:space="preserve">, </w:t>
      </w:r>
      <w:r w:rsidRPr="002755CC">
        <w:rPr>
          <w:rFonts w:ascii="Calibri" w:hAnsi="Calibri" w:cs="Calibri"/>
          <w:b/>
          <w:bCs/>
          <w:noProof/>
          <w:szCs w:val="24"/>
        </w:rPr>
        <w:t>14</w:t>
      </w:r>
      <w:r w:rsidRPr="002755CC">
        <w:rPr>
          <w:rFonts w:ascii="Calibri" w:hAnsi="Calibri" w:cs="Calibri"/>
          <w:noProof/>
          <w:szCs w:val="24"/>
        </w:rPr>
        <w:t>, 293.</w:t>
      </w:r>
    </w:p>
    <w:p w14:paraId="04E1439E" w14:textId="77777777" w:rsidR="002755CC" w:rsidRPr="002755CC" w:rsidRDefault="002755CC" w:rsidP="002755CC">
      <w:pPr>
        <w:widowControl w:val="0"/>
        <w:autoSpaceDE w:val="0"/>
        <w:autoSpaceDN w:val="0"/>
        <w:adjustRightInd w:val="0"/>
        <w:ind w:left="640" w:hanging="640"/>
        <w:rPr>
          <w:rFonts w:ascii="Calibri" w:hAnsi="Calibri" w:cs="Calibri"/>
          <w:noProof/>
          <w:szCs w:val="24"/>
        </w:rPr>
      </w:pPr>
      <w:r w:rsidRPr="002755CC">
        <w:rPr>
          <w:rFonts w:ascii="Calibri" w:hAnsi="Calibri" w:cs="Calibri"/>
          <w:noProof/>
          <w:szCs w:val="24"/>
        </w:rPr>
        <w:lastRenderedPageBreak/>
        <w:t>10.</w:t>
      </w:r>
      <w:r w:rsidRPr="002755CC">
        <w:rPr>
          <w:rFonts w:ascii="Calibri" w:hAnsi="Calibri" w:cs="Calibri"/>
          <w:noProof/>
          <w:szCs w:val="24"/>
        </w:rPr>
        <w:tab/>
        <w:t xml:space="preserve">Houseman, E. A., Accomando, W. P., Koestler, D. C., et al. (2012) DNA methylation arrays as surrogate measures of cell mixture distribution. </w:t>
      </w:r>
      <w:r w:rsidRPr="002755CC">
        <w:rPr>
          <w:rFonts w:ascii="Calibri" w:hAnsi="Calibri" w:cs="Calibri"/>
          <w:i/>
          <w:iCs/>
          <w:noProof/>
          <w:szCs w:val="24"/>
        </w:rPr>
        <w:t>BMC Bioinformatics</w:t>
      </w:r>
      <w:r w:rsidRPr="002755CC">
        <w:rPr>
          <w:rFonts w:ascii="Calibri" w:hAnsi="Calibri" w:cs="Calibri"/>
          <w:noProof/>
          <w:szCs w:val="24"/>
        </w:rPr>
        <w:t xml:space="preserve">, </w:t>
      </w:r>
      <w:r w:rsidRPr="002755CC">
        <w:rPr>
          <w:rFonts w:ascii="Calibri" w:hAnsi="Calibri" w:cs="Calibri"/>
          <w:b/>
          <w:bCs/>
          <w:noProof/>
          <w:szCs w:val="24"/>
        </w:rPr>
        <w:t>13</w:t>
      </w:r>
      <w:r w:rsidRPr="002755CC">
        <w:rPr>
          <w:rFonts w:ascii="Calibri" w:hAnsi="Calibri" w:cs="Calibri"/>
          <w:noProof/>
          <w:szCs w:val="24"/>
        </w:rPr>
        <w:t>, 86.</w:t>
      </w:r>
    </w:p>
    <w:p w14:paraId="50EBC68F" w14:textId="77777777" w:rsidR="002755CC" w:rsidRPr="00B50C09" w:rsidRDefault="002755CC" w:rsidP="002755CC">
      <w:pPr>
        <w:widowControl w:val="0"/>
        <w:autoSpaceDE w:val="0"/>
        <w:autoSpaceDN w:val="0"/>
        <w:adjustRightInd w:val="0"/>
        <w:ind w:left="640" w:hanging="640"/>
        <w:rPr>
          <w:rFonts w:ascii="Calibri" w:hAnsi="Calibri" w:cs="Calibri"/>
          <w:noProof/>
          <w:szCs w:val="24"/>
          <w:lang w:val="fi-FI"/>
        </w:rPr>
      </w:pPr>
      <w:r w:rsidRPr="002755CC">
        <w:rPr>
          <w:rFonts w:ascii="Calibri" w:hAnsi="Calibri" w:cs="Calibri"/>
          <w:noProof/>
          <w:szCs w:val="24"/>
        </w:rPr>
        <w:t>11.</w:t>
      </w:r>
      <w:r w:rsidRPr="002755CC">
        <w:rPr>
          <w:rFonts w:ascii="Calibri" w:hAnsi="Calibri" w:cs="Calibri"/>
          <w:noProof/>
          <w:szCs w:val="24"/>
        </w:rPr>
        <w:tab/>
        <w:t xml:space="preserve">Jaffe, A. E. and Irizarry, R. A. (2014) Accounting for cellular heterogeneity is critical in epigenome-wide association studies. </w:t>
      </w:r>
      <w:r w:rsidRPr="00B50C09">
        <w:rPr>
          <w:rFonts w:ascii="Calibri" w:hAnsi="Calibri" w:cs="Calibri"/>
          <w:i/>
          <w:iCs/>
          <w:noProof/>
          <w:szCs w:val="24"/>
          <w:lang w:val="fi-FI"/>
        </w:rPr>
        <w:t>Genome Biol.</w:t>
      </w:r>
      <w:r w:rsidRPr="00B50C09">
        <w:rPr>
          <w:rFonts w:ascii="Calibri" w:hAnsi="Calibri" w:cs="Calibri"/>
          <w:noProof/>
          <w:szCs w:val="24"/>
          <w:lang w:val="fi-FI"/>
        </w:rPr>
        <w:t xml:space="preserve">, </w:t>
      </w:r>
      <w:r w:rsidRPr="00B50C09">
        <w:rPr>
          <w:rFonts w:ascii="Calibri" w:hAnsi="Calibri" w:cs="Calibri"/>
          <w:b/>
          <w:bCs/>
          <w:noProof/>
          <w:szCs w:val="24"/>
          <w:lang w:val="fi-FI"/>
        </w:rPr>
        <w:t>15</w:t>
      </w:r>
      <w:r w:rsidRPr="00B50C09">
        <w:rPr>
          <w:rFonts w:ascii="Calibri" w:hAnsi="Calibri" w:cs="Calibri"/>
          <w:noProof/>
          <w:szCs w:val="24"/>
          <w:lang w:val="fi-FI"/>
        </w:rPr>
        <w:t>, R31.</w:t>
      </w:r>
    </w:p>
    <w:p w14:paraId="002D44B4" w14:textId="77777777" w:rsidR="002755CC" w:rsidRPr="00B50C09" w:rsidRDefault="002755CC" w:rsidP="002755CC">
      <w:pPr>
        <w:widowControl w:val="0"/>
        <w:autoSpaceDE w:val="0"/>
        <w:autoSpaceDN w:val="0"/>
        <w:adjustRightInd w:val="0"/>
        <w:ind w:left="640" w:hanging="640"/>
        <w:rPr>
          <w:rFonts w:ascii="Calibri" w:hAnsi="Calibri" w:cs="Calibri"/>
          <w:noProof/>
          <w:szCs w:val="24"/>
          <w:lang w:val="fi-FI"/>
        </w:rPr>
      </w:pPr>
      <w:r w:rsidRPr="00B50C09">
        <w:rPr>
          <w:rFonts w:ascii="Calibri" w:hAnsi="Calibri" w:cs="Calibri"/>
          <w:noProof/>
          <w:szCs w:val="24"/>
          <w:lang w:val="fi-FI"/>
        </w:rPr>
        <w:t>12.</w:t>
      </w:r>
      <w:r w:rsidRPr="00B50C09">
        <w:rPr>
          <w:rFonts w:ascii="Calibri" w:hAnsi="Calibri" w:cs="Calibri"/>
          <w:noProof/>
          <w:szCs w:val="24"/>
          <w:lang w:val="fi-FI"/>
        </w:rPr>
        <w:tab/>
        <w:t xml:space="preserve">Mustaniemi, S., Vääräsmäki, M., Eriksson, J. G., et al. </w:t>
      </w:r>
      <w:r w:rsidRPr="002755CC">
        <w:rPr>
          <w:rFonts w:ascii="Calibri" w:hAnsi="Calibri" w:cs="Calibri"/>
          <w:noProof/>
          <w:szCs w:val="24"/>
        </w:rPr>
        <w:t xml:space="preserve">(2018) Polycystic ovary syndrome and risk factors for gestational diabetes. </w:t>
      </w:r>
      <w:r w:rsidRPr="00B50C09">
        <w:rPr>
          <w:rFonts w:ascii="Calibri" w:hAnsi="Calibri" w:cs="Calibri"/>
          <w:i/>
          <w:iCs/>
          <w:noProof/>
          <w:szCs w:val="24"/>
          <w:lang w:val="fi-FI"/>
        </w:rPr>
        <w:t>Endocr. Connect.</w:t>
      </w:r>
      <w:r w:rsidRPr="00B50C09">
        <w:rPr>
          <w:rFonts w:ascii="Calibri" w:hAnsi="Calibri" w:cs="Calibri"/>
          <w:noProof/>
          <w:szCs w:val="24"/>
          <w:lang w:val="fi-FI"/>
        </w:rPr>
        <w:t xml:space="preserve">, </w:t>
      </w:r>
      <w:r w:rsidRPr="00B50C09">
        <w:rPr>
          <w:rFonts w:ascii="Calibri" w:hAnsi="Calibri" w:cs="Calibri"/>
          <w:b/>
          <w:bCs/>
          <w:noProof/>
          <w:szCs w:val="24"/>
          <w:lang w:val="fi-FI"/>
        </w:rPr>
        <w:t>7</w:t>
      </w:r>
      <w:r w:rsidRPr="00B50C09">
        <w:rPr>
          <w:rFonts w:ascii="Calibri" w:hAnsi="Calibri" w:cs="Calibri"/>
          <w:noProof/>
          <w:szCs w:val="24"/>
          <w:lang w:val="fi-FI"/>
        </w:rPr>
        <w:t>, 859–869.</w:t>
      </w:r>
    </w:p>
    <w:p w14:paraId="63B15E51" w14:textId="77777777" w:rsidR="002755CC" w:rsidRPr="002755CC" w:rsidRDefault="002755CC" w:rsidP="002755CC">
      <w:pPr>
        <w:widowControl w:val="0"/>
        <w:autoSpaceDE w:val="0"/>
        <w:autoSpaceDN w:val="0"/>
        <w:adjustRightInd w:val="0"/>
        <w:ind w:left="640" w:hanging="640"/>
        <w:rPr>
          <w:rFonts w:ascii="Calibri" w:hAnsi="Calibri" w:cs="Calibri"/>
          <w:noProof/>
          <w:szCs w:val="24"/>
        </w:rPr>
      </w:pPr>
      <w:r w:rsidRPr="00B50C09">
        <w:rPr>
          <w:rFonts w:ascii="Calibri" w:hAnsi="Calibri" w:cs="Calibri"/>
          <w:noProof/>
          <w:szCs w:val="24"/>
          <w:lang w:val="fi-FI"/>
        </w:rPr>
        <w:t>13.</w:t>
      </w:r>
      <w:r w:rsidRPr="00B50C09">
        <w:rPr>
          <w:rFonts w:ascii="Calibri" w:hAnsi="Calibri" w:cs="Calibri"/>
          <w:noProof/>
          <w:szCs w:val="24"/>
          <w:lang w:val="fi-FI"/>
        </w:rPr>
        <w:tab/>
        <w:t xml:space="preserve">Keikkala, E., Mustaniemi, S., Koivunen, S., et al. </w:t>
      </w:r>
      <w:r w:rsidRPr="002755CC">
        <w:rPr>
          <w:rFonts w:ascii="Calibri" w:hAnsi="Calibri" w:cs="Calibri"/>
          <w:noProof/>
          <w:szCs w:val="24"/>
        </w:rPr>
        <w:t xml:space="preserve">(2020) Cohort Profile: The Finnish Gestational Diabetes (FinnGeDi) Study. </w:t>
      </w:r>
      <w:r w:rsidRPr="002755CC">
        <w:rPr>
          <w:rFonts w:ascii="Calibri" w:hAnsi="Calibri" w:cs="Calibri"/>
          <w:i/>
          <w:iCs/>
          <w:noProof/>
          <w:szCs w:val="24"/>
        </w:rPr>
        <w:t>Int. J. Epidemiol.</w:t>
      </w:r>
      <w:r w:rsidRPr="002755CC">
        <w:rPr>
          <w:rFonts w:ascii="Calibri" w:hAnsi="Calibri" w:cs="Calibri"/>
          <w:noProof/>
          <w:szCs w:val="24"/>
        </w:rPr>
        <w:t xml:space="preserve">, </w:t>
      </w:r>
      <w:r w:rsidRPr="002755CC">
        <w:rPr>
          <w:rFonts w:ascii="Calibri" w:hAnsi="Calibri" w:cs="Calibri"/>
          <w:b/>
          <w:bCs/>
          <w:noProof/>
          <w:szCs w:val="24"/>
        </w:rPr>
        <w:t>dyaa039</w:t>
      </w:r>
      <w:r w:rsidRPr="002755CC">
        <w:rPr>
          <w:rFonts w:ascii="Calibri" w:hAnsi="Calibri" w:cs="Calibri"/>
          <w:noProof/>
          <w:szCs w:val="24"/>
        </w:rPr>
        <w:t>.</w:t>
      </w:r>
    </w:p>
    <w:p w14:paraId="267C3AB9" w14:textId="77777777" w:rsidR="002755CC" w:rsidRPr="002755CC" w:rsidRDefault="002755CC" w:rsidP="002755CC">
      <w:pPr>
        <w:widowControl w:val="0"/>
        <w:autoSpaceDE w:val="0"/>
        <w:autoSpaceDN w:val="0"/>
        <w:adjustRightInd w:val="0"/>
        <w:ind w:left="640" w:hanging="640"/>
        <w:rPr>
          <w:rFonts w:ascii="Calibri" w:hAnsi="Calibri" w:cs="Calibri"/>
          <w:noProof/>
          <w:szCs w:val="24"/>
        </w:rPr>
      </w:pPr>
      <w:r w:rsidRPr="002755CC">
        <w:rPr>
          <w:rFonts w:ascii="Calibri" w:hAnsi="Calibri" w:cs="Calibri"/>
          <w:noProof/>
          <w:szCs w:val="24"/>
        </w:rPr>
        <w:t>14.</w:t>
      </w:r>
      <w:r w:rsidRPr="002755CC">
        <w:rPr>
          <w:rFonts w:ascii="Calibri" w:hAnsi="Calibri" w:cs="Calibri"/>
          <w:noProof/>
          <w:szCs w:val="24"/>
        </w:rPr>
        <w:tab/>
        <w:t xml:space="preserve">Morris, T. J., Butcher, L. M., Feber, A., et al. (2014) ChAMP: 450k Chip Analysis Methylation Pipeline. </w:t>
      </w:r>
      <w:r w:rsidRPr="002755CC">
        <w:rPr>
          <w:rFonts w:ascii="Calibri" w:hAnsi="Calibri" w:cs="Calibri"/>
          <w:i/>
          <w:iCs/>
          <w:noProof/>
          <w:szCs w:val="24"/>
        </w:rPr>
        <w:t>Bioinformatics</w:t>
      </w:r>
      <w:r w:rsidRPr="002755CC">
        <w:rPr>
          <w:rFonts w:ascii="Calibri" w:hAnsi="Calibri" w:cs="Calibri"/>
          <w:noProof/>
          <w:szCs w:val="24"/>
        </w:rPr>
        <w:t xml:space="preserve">, </w:t>
      </w:r>
      <w:r w:rsidRPr="002755CC">
        <w:rPr>
          <w:rFonts w:ascii="Calibri" w:hAnsi="Calibri" w:cs="Calibri"/>
          <w:b/>
          <w:bCs/>
          <w:noProof/>
          <w:szCs w:val="24"/>
        </w:rPr>
        <w:t>30</w:t>
      </w:r>
      <w:r w:rsidRPr="002755CC">
        <w:rPr>
          <w:rFonts w:ascii="Calibri" w:hAnsi="Calibri" w:cs="Calibri"/>
          <w:noProof/>
          <w:szCs w:val="24"/>
        </w:rPr>
        <w:t>, 428–430.</w:t>
      </w:r>
    </w:p>
    <w:p w14:paraId="06E57F49" w14:textId="77777777" w:rsidR="002755CC" w:rsidRPr="002755CC" w:rsidRDefault="002755CC" w:rsidP="002755CC">
      <w:pPr>
        <w:widowControl w:val="0"/>
        <w:autoSpaceDE w:val="0"/>
        <w:autoSpaceDN w:val="0"/>
        <w:adjustRightInd w:val="0"/>
        <w:ind w:left="640" w:hanging="640"/>
        <w:rPr>
          <w:rFonts w:ascii="Calibri" w:hAnsi="Calibri" w:cs="Calibri"/>
          <w:noProof/>
          <w:szCs w:val="24"/>
        </w:rPr>
      </w:pPr>
      <w:r w:rsidRPr="002755CC">
        <w:rPr>
          <w:rFonts w:ascii="Calibri" w:hAnsi="Calibri" w:cs="Calibri"/>
          <w:noProof/>
          <w:szCs w:val="24"/>
        </w:rPr>
        <w:t>15.</w:t>
      </w:r>
      <w:r w:rsidRPr="002755CC">
        <w:rPr>
          <w:rFonts w:ascii="Calibri" w:hAnsi="Calibri" w:cs="Calibri"/>
          <w:noProof/>
          <w:szCs w:val="24"/>
        </w:rPr>
        <w:tab/>
        <w:t xml:space="preserve">Niu, L., Xu, Z. and Taylor, J. A. (2016) RCP: a novel probe design bias correction method for Illumina Methylation BeadChip. </w:t>
      </w:r>
      <w:r w:rsidRPr="002755CC">
        <w:rPr>
          <w:rFonts w:ascii="Calibri" w:hAnsi="Calibri" w:cs="Calibri"/>
          <w:i/>
          <w:iCs/>
          <w:noProof/>
          <w:szCs w:val="24"/>
        </w:rPr>
        <w:t>Bioinformatics</w:t>
      </w:r>
      <w:r w:rsidRPr="002755CC">
        <w:rPr>
          <w:rFonts w:ascii="Calibri" w:hAnsi="Calibri" w:cs="Calibri"/>
          <w:noProof/>
          <w:szCs w:val="24"/>
        </w:rPr>
        <w:t xml:space="preserve">, </w:t>
      </w:r>
      <w:r w:rsidRPr="002755CC">
        <w:rPr>
          <w:rFonts w:ascii="Calibri" w:hAnsi="Calibri" w:cs="Calibri"/>
          <w:b/>
          <w:bCs/>
          <w:noProof/>
          <w:szCs w:val="24"/>
        </w:rPr>
        <w:t>32</w:t>
      </w:r>
      <w:r w:rsidRPr="002755CC">
        <w:rPr>
          <w:rFonts w:ascii="Calibri" w:hAnsi="Calibri" w:cs="Calibri"/>
          <w:noProof/>
          <w:szCs w:val="24"/>
        </w:rPr>
        <w:t>, 2659–63.</w:t>
      </w:r>
    </w:p>
    <w:p w14:paraId="2D50D037" w14:textId="77777777" w:rsidR="002755CC" w:rsidRPr="002755CC" w:rsidRDefault="002755CC" w:rsidP="002755CC">
      <w:pPr>
        <w:widowControl w:val="0"/>
        <w:autoSpaceDE w:val="0"/>
        <w:autoSpaceDN w:val="0"/>
        <w:adjustRightInd w:val="0"/>
        <w:ind w:left="640" w:hanging="640"/>
        <w:rPr>
          <w:rFonts w:ascii="Calibri" w:hAnsi="Calibri" w:cs="Calibri"/>
          <w:noProof/>
          <w:szCs w:val="24"/>
        </w:rPr>
      </w:pPr>
      <w:r w:rsidRPr="002755CC">
        <w:rPr>
          <w:rFonts w:ascii="Calibri" w:hAnsi="Calibri" w:cs="Calibri"/>
          <w:noProof/>
          <w:szCs w:val="24"/>
        </w:rPr>
        <w:t>16.</w:t>
      </w:r>
      <w:r w:rsidRPr="002755CC">
        <w:rPr>
          <w:rFonts w:ascii="Calibri" w:hAnsi="Calibri" w:cs="Calibri"/>
          <w:noProof/>
          <w:szCs w:val="24"/>
        </w:rPr>
        <w:tab/>
        <w:t xml:space="preserve">Xu, Z., Niu, L., Li, L., et al. (2016) ENmix: a novel background correction method for Illumina HumanMethylation450 BeadChip. </w:t>
      </w:r>
      <w:r w:rsidRPr="002755CC">
        <w:rPr>
          <w:rFonts w:ascii="Calibri" w:hAnsi="Calibri" w:cs="Calibri"/>
          <w:i/>
          <w:iCs/>
          <w:noProof/>
          <w:szCs w:val="24"/>
        </w:rPr>
        <w:t>Nucleic Acids Res.</w:t>
      </w:r>
      <w:r w:rsidRPr="002755CC">
        <w:rPr>
          <w:rFonts w:ascii="Calibri" w:hAnsi="Calibri" w:cs="Calibri"/>
          <w:noProof/>
          <w:szCs w:val="24"/>
        </w:rPr>
        <w:t xml:space="preserve">, </w:t>
      </w:r>
      <w:r w:rsidRPr="002755CC">
        <w:rPr>
          <w:rFonts w:ascii="Calibri" w:hAnsi="Calibri" w:cs="Calibri"/>
          <w:b/>
          <w:bCs/>
          <w:noProof/>
          <w:szCs w:val="24"/>
        </w:rPr>
        <w:t>44</w:t>
      </w:r>
      <w:r w:rsidRPr="002755CC">
        <w:rPr>
          <w:rFonts w:ascii="Calibri" w:hAnsi="Calibri" w:cs="Calibri"/>
          <w:noProof/>
          <w:szCs w:val="24"/>
        </w:rPr>
        <w:t>, e20.</w:t>
      </w:r>
    </w:p>
    <w:p w14:paraId="10508668" w14:textId="77777777" w:rsidR="002755CC" w:rsidRPr="002755CC" w:rsidRDefault="002755CC" w:rsidP="002755CC">
      <w:pPr>
        <w:widowControl w:val="0"/>
        <w:autoSpaceDE w:val="0"/>
        <w:autoSpaceDN w:val="0"/>
        <w:adjustRightInd w:val="0"/>
        <w:ind w:left="640" w:hanging="640"/>
        <w:rPr>
          <w:rFonts w:ascii="Calibri" w:hAnsi="Calibri" w:cs="Calibri"/>
          <w:noProof/>
          <w:szCs w:val="24"/>
        </w:rPr>
      </w:pPr>
      <w:r w:rsidRPr="002755CC">
        <w:rPr>
          <w:rFonts w:ascii="Calibri" w:hAnsi="Calibri" w:cs="Calibri"/>
          <w:noProof/>
          <w:szCs w:val="24"/>
        </w:rPr>
        <w:t>17.</w:t>
      </w:r>
      <w:r w:rsidRPr="002755CC">
        <w:rPr>
          <w:rFonts w:ascii="Calibri" w:hAnsi="Calibri" w:cs="Calibri"/>
          <w:noProof/>
          <w:szCs w:val="24"/>
        </w:rPr>
        <w:tab/>
        <w:t xml:space="preserve">Salas, L. A., Koestler, D. C., Butler, R. A., et al. (2018) An optimized library for reference-based deconvolution of whole-blood biospecimens assayed using the Illumina HumanMethylationEPIC BeadArray. </w:t>
      </w:r>
      <w:r w:rsidRPr="002755CC">
        <w:rPr>
          <w:rFonts w:ascii="Calibri" w:hAnsi="Calibri" w:cs="Calibri"/>
          <w:i/>
          <w:iCs/>
          <w:noProof/>
          <w:szCs w:val="24"/>
        </w:rPr>
        <w:t>Genome Biol.</w:t>
      </w:r>
      <w:r w:rsidRPr="002755CC">
        <w:rPr>
          <w:rFonts w:ascii="Calibri" w:hAnsi="Calibri" w:cs="Calibri"/>
          <w:noProof/>
          <w:szCs w:val="24"/>
        </w:rPr>
        <w:t xml:space="preserve">, </w:t>
      </w:r>
      <w:r w:rsidRPr="002755CC">
        <w:rPr>
          <w:rFonts w:ascii="Calibri" w:hAnsi="Calibri" w:cs="Calibri"/>
          <w:b/>
          <w:bCs/>
          <w:noProof/>
          <w:szCs w:val="24"/>
        </w:rPr>
        <w:t>19</w:t>
      </w:r>
      <w:r w:rsidRPr="002755CC">
        <w:rPr>
          <w:rFonts w:ascii="Calibri" w:hAnsi="Calibri" w:cs="Calibri"/>
          <w:noProof/>
          <w:szCs w:val="24"/>
        </w:rPr>
        <w:t>, 64.</w:t>
      </w:r>
    </w:p>
    <w:p w14:paraId="7C40EEA3" w14:textId="77777777" w:rsidR="002755CC" w:rsidRPr="002755CC" w:rsidRDefault="002755CC" w:rsidP="002755CC">
      <w:pPr>
        <w:widowControl w:val="0"/>
        <w:autoSpaceDE w:val="0"/>
        <w:autoSpaceDN w:val="0"/>
        <w:adjustRightInd w:val="0"/>
        <w:ind w:left="640" w:hanging="640"/>
        <w:rPr>
          <w:rFonts w:ascii="Calibri" w:hAnsi="Calibri" w:cs="Calibri"/>
          <w:noProof/>
          <w:szCs w:val="24"/>
        </w:rPr>
      </w:pPr>
      <w:r w:rsidRPr="002755CC">
        <w:rPr>
          <w:rFonts w:ascii="Calibri" w:hAnsi="Calibri" w:cs="Calibri"/>
          <w:noProof/>
          <w:szCs w:val="24"/>
        </w:rPr>
        <w:t>18.</w:t>
      </w:r>
      <w:r w:rsidRPr="002755CC">
        <w:rPr>
          <w:rFonts w:ascii="Calibri" w:hAnsi="Calibri" w:cs="Calibri"/>
          <w:noProof/>
          <w:szCs w:val="24"/>
        </w:rPr>
        <w:tab/>
        <w:t xml:space="preserve">Koestler, D. C., Jones, M. J., Usset, J., et al. (2016) Improving cell mixture deconvolution by identifying optimal DNA methylation libraries (IDOL). </w:t>
      </w:r>
      <w:r w:rsidRPr="002755CC">
        <w:rPr>
          <w:rFonts w:ascii="Calibri" w:hAnsi="Calibri" w:cs="Calibri"/>
          <w:i/>
          <w:iCs/>
          <w:noProof/>
          <w:szCs w:val="24"/>
        </w:rPr>
        <w:t>BMC Bioinformatics</w:t>
      </w:r>
      <w:r w:rsidRPr="002755CC">
        <w:rPr>
          <w:rFonts w:ascii="Calibri" w:hAnsi="Calibri" w:cs="Calibri"/>
          <w:noProof/>
          <w:szCs w:val="24"/>
        </w:rPr>
        <w:t xml:space="preserve">, </w:t>
      </w:r>
      <w:r w:rsidRPr="002755CC">
        <w:rPr>
          <w:rFonts w:ascii="Calibri" w:hAnsi="Calibri" w:cs="Calibri"/>
          <w:b/>
          <w:bCs/>
          <w:noProof/>
          <w:szCs w:val="24"/>
        </w:rPr>
        <w:t>17</w:t>
      </w:r>
      <w:r w:rsidRPr="002755CC">
        <w:rPr>
          <w:rFonts w:ascii="Calibri" w:hAnsi="Calibri" w:cs="Calibri"/>
          <w:noProof/>
          <w:szCs w:val="24"/>
        </w:rPr>
        <w:t>, 120.</w:t>
      </w:r>
    </w:p>
    <w:p w14:paraId="620FDF85" w14:textId="77777777" w:rsidR="002755CC" w:rsidRPr="002755CC" w:rsidRDefault="002755CC" w:rsidP="002755CC">
      <w:pPr>
        <w:widowControl w:val="0"/>
        <w:autoSpaceDE w:val="0"/>
        <w:autoSpaceDN w:val="0"/>
        <w:adjustRightInd w:val="0"/>
        <w:ind w:left="640" w:hanging="640"/>
        <w:rPr>
          <w:rFonts w:ascii="Calibri" w:hAnsi="Calibri" w:cs="Calibri"/>
          <w:noProof/>
          <w:szCs w:val="24"/>
        </w:rPr>
      </w:pPr>
      <w:r w:rsidRPr="002755CC">
        <w:rPr>
          <w:rFonts w:ascii="Calibri" w:hAnsi="Calibri" w:cs="Calibri"/>
          <w:noProof/>
          <w:szCs w:val="24"/>
        </w:rPr>
        <w:t>19.</w:t>
      </w:r>
      <w:r w:rsidRPr="002755CC">
        <w:rPr>
          <w:rFonts w:ascii="Calibri" w:hAnsi="Calibri" w:cs="Calibri"/>
          <w:noProof/>
          <w:szCs w:val="24"/>
        </w:rPr>
        <w:tab/>
        <w:t xml:space="preserve">Kooijman, M. N., Kruithof, C. J., van Duijn, C. M., et al. (2016) The Generation R Study: design and cohort update 2017. </w:t>
      </w:r>
      <w:r w:rsidRPr="002755CC">
        <w:rPr>
          <w:rFonts w:ascii="Calibri" w:hAnsi="Calibri" w:cs="Calibri"/>
          <w:i/>
          <w:iCs/>
          <w:noProof/>
          <w:szCs w:val="24"/>
        </w:rPr>
        <w:t>Eur. J. Epidemiol.</w:t>
      </w:r>
      <w:r w:rsidRPr="002755CC">
        <w:rPr>
          <w:rFonts w:ascii="Calibri" w:hAnsi="Calibri" w:cs="Calibri"/>
          <w:noProof/>
          <w:szCs w:val="24"/>
        </w:rPr>
        <w:t xml:space="preserve">, </w:t>
      </w:r>
      <w:r w:rsidRPr="002755CC">
        <w:rPr>
          <w:rFonts w:ascii="Calibri" w:hAnsi="Calibri" w:cs="Calibri"/>
          <w:b/>
          <w:bCs/>
          <w:noProof/>
          <w:szCs w:val="24"/>
        </w:rPr>
        <w:t>31</w:t>
      </w:r>
      <w:r w:rsidRPr="002755CC">
        <w:rPr>
          <w:rFonts w:ascii="Calibri" w:hAnsi="Calibri" w:cs="Calibri"/>
          <w:noProof/>
          <w:szCs w:val="24"/>
        </w:rPr>
        <w:t>, 1243–1264.</w:t>
      </w:r>
    </w:p>
    <w:p w14:paraId="15FED858" w14:textId="77777777" w:rsidR="002755CC" w:rsidRPr="002755CC" w:rsidRDefault="002755CC" w:rsidP="002755CC">
      <w:pPr>
        <w:widowControl w:val="0"/>
        <w:autoSpaceDE w:val="0"/>
        <w:autoSpaceDN w:val="0"/>
        <w:adjustRightInd w:val="0"/>
        <w:ind w:left="640" w:hanging="640"/>
        <w:rPr>
          <w:rFonts w:ascii="Calibri" w:hAnsi="Calibri" w:cs="Calibri"/>
          <w:noProof/>
          <w:szCs w:val="24"/>
        </w:rPr>
      </w:pPr>
      <w:r w:rsidRPr="002755CC">
        <w:rPr>
          <w:rFonts w:ascii="Calibri" w:hAnsi="Calibri" w:cs="Calibri"/>
          <w:noProof/>
          <w:szCs w:val="24"/>
        </w:rPr>
        <w:lastRenderedPageBreak/>
        <w:t>20.</w:t>
      </w:r>
      <w:r w:rsidRPr="002755CC">
        <w:rPr>
          <w:rFonts w:ascii="Calibri" w:hAnsi="Calibri" w:cs="Calibri"/>
          <w:noProof/>
          <w:szCs w:val="24"/>
        </w:rPr>
        <w:tab/>
        <w:t xml:space="preserve">Jaddoe, V. W. V, van Duijn, C. M., Franco, O. H., et al. (2012) The Generation R Study: design and cohort update 2012. </w:t>
      </w:r>
      <w:r w:rsidRPr="002755CC">
        <w:rPr>
          <w:rFonts w:ascii="Calibri" w:hAnsi="Calibri" w:cs="Calibri"/>
          <w:i/>
          <w:iCs/>
          <w:noProof/>
          <w:szCs w:val="24"/>
        </w:rPr>
        <w:t>Eur. J. Epidemiol.</w:t>
      </w:r>
      <w:r w:rsidRPr="002755CC">
        <w:rPr>
          <w:rFonts w:ascii="Calibri" w:hAnsi="Calibri" w:cs="Calibri"/>
          <w:noProof/>
          <w:szCs w:val="24"/>
        </w:rPr>
        <w:t xml:space="preserve">, </w:t>
      </w:r>
      <w:r w:rsidRPr="002755CC">
        <w:rPr>
          <w:rFonts w:ascii="Calibri" w:hAnsi="Calibri" w:cs="Calibri"/>
          <w:b/>
          <w:bCs/>
          <w:noProof/>
          <w:szCs w:val="24"/>
        </w:rPr>
        <w:t>27</w:t>
      </w:r>
      <w:r w:rsidRPr="002755CC">
        <w:rPr>
          <w:rFonts w:ascii="Calibri" w:hAnsi="Calibri" w:cs="Calibri"/>
          <w:noProof/>
          <w:szCs w:val="24"/>
        </w:rPr>
        <w:t>, 739–756.</w:t>
      </w:r>
    </w:p>
    <w:p w14:paraId="6CBE7870" w14:textId="77777777" w:rsidR="002755CC" w:rsidRPr="002755CC" w:rsidRDefault="002755CC" w:rsidP="002755CC">
      <w:pPr>
        <w:widowControl w:val="0"/>
        <w:autoSpaceDE w:val="0"/>
        <w:autoSpaceDN w:val="0"/>
        <w:adjustRightInd w:val="0"/>
        <w:ind w:left="640" w:hanging="640"/>
        <w:rPr>
          <w:rFonts w:ascii="Calibri" w:hAnsi="Calibri" w:cs="Calibri"/>
          <w:noProof/>
          <w:szCs w:val="24"/>
        </w:rPr>
      </w:pPr>
      <w:r w:rsidRPr="002755CC">
        <w:rPr>
          <w:rFonts w:ascii="Calibri" w:hAnsi="Calibri" w:cs="Calibri"/>
          <w:noProof/>
          <w:szCs w:val="24"/>
        </w:rPr>
        <w:t>21.</w:t>
      </w:r>
      <w:r w:rsidRPr="002755CC">
        <w:rPr>
          <w:rFonts w:ascii="Calibri" w:hAnsi="Calibri" w:cs="Calibri"/>
          <w:noProof/>
          <w:szCs w:val="24"/>
        </w:rPr>
        <w:tab/>
        <w:t xml:space="preserve">Lehne, B., Drong, A. W., Loh, M., et al. (2015) A coherent approach for analysis of the Illumina HumanMethylation450 BeadChip improves data quality and performance in epigenome-wide association studies. </w:t>
      </w:r>
      <w:r w:rsidRPr="002755CC">
        <w:rPr>
          <w:rFonts w:ascii="Calibri" w:hAnsi="Calibri" w:cs="Calibri"/>
          <w:i/>
          <w:iCs/>
          <w:noProof/>
          <w:szCs w:val="24"/>
        </w:rPr>
        <w:t>Genome Biol.</w:t>
      </w:r>
      <w:r w:rsidRPr="002755CC">
        <w:rPr>
          <w:rFonts w:ascii="Calibri" w:hAnsi="Calibri" w:cs="Calibri"/>
          <w:noProof/>
          <w:szCs w:val="24"/>
        </w:rPr>
        <w:t xml:space="preserve">, </w:t>
      </w:r>
      <w:r w:rsidRPr="002755CC">
        <w:rPr>
          <w:rFonts w:ascii="Calibri" w:hAnsi="Calibri" w:cs="Calibri"/>
          <w:b/>
          <w:bCs/>
          <w:noProof/>
          <w:szCs w:val="24"/>
        </w:rPr>
        <w:t>16</w:t>
      </w:r>
      <w:r w:rsidRPr="002755CC">
        <w:rPr>
          <w:rFonts w:ascii="Calibri" w:hAnsi="Calibri" w:cs="Calibri"/>
          <w:noProof/>
          <w:szCs w:val="24"/>
        </w:rPr>
        <w:t>, 37.</w:t>
      </w:r>
    </w:p>
    <w:p w14:paraId="621F6409" w14:textId="77777777" w:rsidR="002755CC" w:rsidRPr="002755CC" w:rsidRDefault="002755CC" w:rsidP="002755CC">
      <w:pPr>
        <w:widowControl w:val="0"/>
        <w:autoSpaceDE w:val="0"/>
        <w:autoSpaceDN w:val="0"/>
        <w:adjustRightInd w:val="0"/>
        <w:ind w:left="640" w:hanging="640"/>
        <w:rPr>
          <w:rFonts w:ascii="Calibri" w:hAnsi="Calibri" w:cs="Calibri"/>
          <w:noProof/>
          <w:szCs w:val="24"/>
        </w:rPr>
      </w:pPr>
      <w:r w:rsidRPr="002755CC">
        <w:rPr>
          <w:rFonts w:ascii="Calibri" w:hAnsi="Calibri" w:cs="Calibri"/>
          <w:noProof/>
          <w:szCs w:val="24"/>
        </w:rPr>
        <w:t>22.</w:t>
      </w:r>
      <w:r w:rsidRPr="002755CC">
        <w:rPr>
          <w:rFonts w:ascii="Calibri" w:hAnsi="Calibri" w:cs="Calibri"/>
          <w:noProof/>
          <w:szCs w:val="24"/>
        </w:rPr>
        <w:tab/>
        <w:t xml:space="preserve">R Core Team (2019) R: A Language and Environment for Statistical Computing. R: A Language and Environment for Statistical Computing </w:t>
      </w:r>
      <w:r w:rsidRPr="002755CC">
        <w:rPr>
          <w:rFonts w:ascii="Calibri" w:hAnsi="Calibri" w:cs="Calibri"/>
          <w:b/>
          <w:bCs/>
          <w:noProof/>
          <w:szCs w:val="24"/>
        </w:rPr>
        <w:t xml:space="preserve"> (2019) </w:t>
      </w:r>
      <w:r w:rsidRPr="002755CC">
        <w:rPr>
          <w:rFonts w:ascii="Calibri" w:hAnsi="Calibri" w:cs="Calibri"/>
          <w:noProof/>
          <w:szCs w:val="24"/>
        </w:rPr>
        <w:t>.</w:t>
      </w:r>
    </w:p>
    <w:p w14:paraId="694D9724" w14:textId="77777777" w:rsidR="002755CC" w:rsidRPr="002755CC" w:rsidRDefault="002755CC" w:rsidP="002755CC">
      <w:pPr>
        <w:widowControl w:val="0"/>
        <w:autoSpaceDE w:val="0"/>
        <w:autoSpaceDN w:val="0"/>
        <w:adjustRightInd w:val="0"/>
        <w:ind w:left="640" w:hanging="640"/>
        <w:rPr>
          <w:rFonts w:ascii="Calibri" w:hAnsi="Calibri" w:cs="Calibri"/>
          <w:noProof/>
          <w:szCs w:val="24"/>
        </w:rPr>
      </w:pPr>
      <w:r w:rsidRPr="002755CC">
        <w:rPr>
          <w:rFonts w:ascii="Calibri" w:hAnsi="Calibri" w:cs="Calibri"/>
          <w:noProof/>
          <w:szCs w:val="24"/>
        </w:rPr>
        <w:t>23.</w:t>
      </w:r>
      <w:r w:rsidRPr="002755CC">
        <w:rPr>
          <w:rFonts w:ascii="Calibri" w:hAnsi="Calibri" w:cs="Calibri"/>
          <w:noProof/>
          <w:szCs w:val="24"/>
        </w:rPr>
        <w:tab/>
        <w:t xml:space="preserve">Bakulski, K. M., Feinberg, J. I., Andrews, S. V, et al. (2016) DNA methylation of cord blood cell types: Applications for mixed cell birth studies. </w:t>
      </w:r>
      <w:r w:rsidRPr="002755CC">
        <w:rPr>
          <w:rFonts w:ascii="Calibri" w:hAnsi="Calibri" w:cs="Calibri"/>
          <w:i/>
          <w:iCs/>
          <w:noProof/>
          <w:szCs w:val="24"/>
        </w:rPr>
        <w:t>Epigenetics</w:t>
      </w:r>
      <w:r w:rsidRPr="002755CC">
        <w:rPr>
          <w:rFonts w:ascii="Calibri" w:hAnsi="Calibri" w:cs="Calibri"/>
          <w:noProof/>
          <w:szCs w:val="24"/>
        </w:rPr>
        <w:t xml:space="preserve">, </w:t>
      </w:r>
      <w:r w:rsidRPr="002755CC">
        <w:rPr>
          <w:rFonts w:ascii="Calibri" w:hAnsi="Calibri" w:cs="Calibri"/>
          <w:b/>
          <w:bCs/>
          <w:noProof/>
          <w:szCs w:val="24"/>
        </w:rPr>
        <w:t>11</w:t>
      </w:r>
      <w:r w:rsidRPr="002755CC">
        <w:rPr>
          <w:rFonts w:ascii="Calibri" w:hAnsi="Calibri" w:cs="Calibri"/>
          <w:noProof/>
          <w:szCs w:val="24"/>
        </w:rPr>
        <w:t>, 354–362.</w:t>
      </w:r>
    </w:p>
    <w:p w14:paraId="60AC332B" w14:textId="77777777" w:rsidR="002755CC" w:rsidRPr="002755CC" w:rsidRDefault="002755CC" w:rsidP="002755CC">
      <w:pPr>
        <w:widowControl w:val="0"/>
        <w:autoSpaceDE w:val="0"/>
        <w:autoSpaceDN w:val="0"/>
        <w:adjustRightInd w:val="0"/>
        <w:ind w:left="640" w:hanging="640"/>
        <w:rPr>
          <w:rFonts w:ascii="Calibri" w:hAnsi="Calibri" w:cs="Calibri"/>
          <w:noProof/>
          <w:szCs w:val="24"/>
        </w:rPr>
      </w:pPr>
      <w:r w:rsidRPr="002755CC">
        <w:rPr>
          <w:rFonts w:ascii="Calibri" w:hAnsi="Calibri" w:cs="Calibri"/>
          <w:noProof/>
          <w:szCs w:val="24"/>
        </w:rPr>
        <w:t>24.</w:t>
      </w:r>
      <w:r w:rsidRPr="002755CC">
        <w:rPr>
          <w:rFonts w:ascii="Calibri" w:hAnsi="Calibri" w:cs="Calibri"/>
          <w:noProof/>
          <w:szCs w:val="24"/>
        </w:rPr>
        <w:tab/>
        <w:t xml:space="preserve">Reinius, L. E., Acevedo, N., Joerink, M., et al. (2012) Differential DNA methylation in purified human blood cells: implications for cell lineage and studies on disease susceptibility. </w:t>
      </w:r>
      <w:r w:rsidRPr="002755CC">
        <w:rPr>
          <w:rFonts w:ascii="Calibri" w:hAnsi="Calibri" w:cs="Calibri"/>
          <w:i/>
          <w:iCs/>
          <w:noProof/>
          <w:szCs w:val="24"/>
        </w:rPr>
        <w:t>PLoS One</w:t>
      </w:r>
      <w:r w:rsidRPr="002755CC">
        <w:rPr>
          <w:rFonts w:ascii="Calibri" w:hAnsi="Calibri" w:cs="Calibri"/>
          <w:noProof/>
          <w:szCs w:val="24"/>
        </w:rPr>
        <w:t xml:space="preserve">, </w:t>
      </w:r>
      <w:r w:rsidRPr="002755CC">
        <w:rPr>
          <w:rFonts w:ascii="Calibri" w:hAnsi="Calibri" w:cs="Calibri"/>
          <w:b/>
          <w:bCs/>
          <w:noProof/>
          <w:szCs w:val="24"/>
        </w:rPr>
        <w:t>7</w:t>
      </w:r>
      <w:r w:rsidRPr="002755CC">
        <w:rPr>
          <w:rFonts w:ascii="Calibri" w:hAnsi="Calibri" w:cs="Calibri"/>
          <w:noProof/>
          <w:szCs w:val="24"/>
        </w:rPr>
        <w:t>, e41361.</w:t>
      </w:r>
    </w:p>
    <w:p w14:paraId="4933D276" w14:textId="77777777" w:rsidR="002755CC" w:rsidRPr="002755CC" w:rsidRDefault="002755CC" w:rsidP="002755CC">
      <w:pPr>
        <w:widowControl w:val="0"/>
        <w:autoSpaceDE w:val="0"/>
        <w:autoSpaceDN w:val="0"/>
        <w:adjustRightInd w:val="0"/>
        <w:ind w:left="640" w:hanging="640"/>
        <w:rPr>
          <w:rFonts w:ascii="Calibri" w:hAnsi="Calibri" w:cs="Calibri"/>
          <w:noProof/>
          <w:szCs w:val="24"/>
        </w:rPr>
      </w:pPr>
      <w:r w:rsidRPr="002755CC">
        <w:rPr>
          <w:rFonts w:ascii="Calibri" w:hAnsi="Calibri" w:cs="Calibri"/>
          <w:noProof/>
          <w:szCs w:val="24"/>
        </w:rPr>
        <w:t>25.</w:t>
      </w:r>
      <w:r w:rsidRPr="002755CC">
        <w:rPr>
          <w:rFonts w:ascii="Calibri" w:hAnsi="Calibri" w:cs="Calibri"/>
          <w:noProof/>
          <w:szCs w:val="24"/>
        </w:rPr>
        <w:tab/>
        <w:t xml:space="preserve">Guxens, M., Ballester, F., Espada, M., et al. (2012) Cohort Profile: the INMA--INfancia y Medio Ambiente--(Environment and Childhood) Project. </w:t>
      </w:r>
      <w:r w:rsidRPr="002755CC">
        <w:rPr>
          <w:rFonts w:ascii="Calibri" w:hAnsi="Calibri" w:cs="Calibri"/>
          <w:i/>
          <w:iCs/>
          <w:noProof/>
          <w:szCs w:val="24"/>
        </w:rPr>
        <w:t>Int. J. Epidemiol.</w:t>
      </w:r>
      <w:r w:rsidRPr="002755CC">
        <w:rPr>
          <w:rFonts w:ascii="Calibri" w:hAnsi="Calibri" w:cs="Calibri"/>
          <w:noProof/>
          <w:szCs w:val="24"/>
        </w:rPr>
        <w:t xml:space="preserve">, </w:t>
      </w:r>
      <w:r w:rsidRPr="002755CC">
        <w:rPr>
          <w:rFonts w:ascii="Calibri" w:hAnsi="Calibri" w:cs="Calibri"/>
          <w:b/>
          <w:bCs/>
          <w:noProof/>
          <w:szCs w:val="24"/>
        </w:rPr>
        <w:t>41</w:t>
      </w:r>
      <w:r w:rsidRPr="002755CC">
        <w:rPr>
          <w:rFonts w:ascii="Calibri" w:hAnsi="Calibri" w:cs="Calibri"/>
          <w:noProof/>
          <w:szCs w:val="24"/>
        </w:rPr>
        <w:t>, 930–940.</w:t>
      </w:r>
    </w:p>
    <w:p w14:paraId="641DCA8A" w14:textId="77777777" w:rsidR="002755CC" w:rsidRPr="002755CC" w:rsidRDefault="002755CC" w:rsidP="002755CC">
      <w:pPr>
        <w:widowControl w:val="0"/>
        <w:autoSpaceDE w:val="0"/>
        <w:autoSpaceDN w:val="0"/>
        <w:adjustRightInd w:val="0"/>
        <w:ind w:left="640" w:hanging="640"/>
        <w:rPr>
          <w:rFonts w:ascii="Calibri" w:hAnsi="Calibri" w:cs="Calibri"/>
          <w:noProof/>
          <w:szCs w:val="24"/>
        </w:rPr>
      </w:pPr>
      <w:r w:rsidRPr="002755CC">
        <w:rPr>
          <w:rFonts w:ascii="Calibri" w:hAnsi="Calibri" w:cs="Calibri"/>
          <w:noProof/>
          <w:szCs w:val="24"/>
        </w:rPr>
        <w:t>26.</w:t>
      </w:r>
      <w:r w:rsidRPr="002755CC">
        <w:rPr>
          <w:rFonts w:ascii="Calibri" w:hAnsi="Calibri" w:cs="Calibri"/>
          <w:noProof/>
          <w:szCs w:val="24"/>
        </w:rPr>
        <w:tab/>
        <w:t xml:space="preserve">van Iterson, M., Tobi, E. W., Slieker, R. C., et al. (2014) MethylAid: visual and interactive quality control of large Illumina 450k datasets. </w:t>
      </w:r>
      <w:r w:rsidRPr="002755CC">
        <w:rPr>
          <w:rFonts w:ascii="Calibri" w:hAnsi="Calibri" w:cs="Calibri"/>
          <w:i/>
          <w:iCs/>
          <w:noProof/>
          <w:szCs w:val="24"/>
        </w:rPr>
        <w:t>Bioinformatics</w:t>
      </w:r>
      <w:r w:rsidRPr="002755CC">
        <w:rPr>
          <w:rFonts w:ascii="Calibri" w:hAnsi="Calibri" w:cs="Calibri"/>
          <w:noProof/>
          <w:szCs w:val="24"/>
        </w:rPr>
        <w:t xml:space="preserve">, </w:t>
      </w:r>
      <w:r w:rsidRPr="002755CC">
        <w:rPr>
          <w:rFonts w:ascii="Calibri" w:hAnsi="Calibri" w:cs="Calibri"/>
          <w:b/>
          <w:bCs/>
          <w:noProof/>
          <w:szCs w:val="24"/>
        </w:rPr>
        <w:t>30</w:t>
      </w:r>
      <w:r w:rsidRPr="002755CC">
        <w:rPr>
          <w:rFonts w:ascii="Calibri" w:hAnsi="Calibri" w:cs="Calibri"/>
          <w:noProof/>
          <w:szCs w:val="24"/>
        </w:rPr>
        <w:t>, 3435–3437.</w:t>
      </w:r>
    </w:p>
    <w:p w14:paraId="65EFE985" w14:textId="77777777" w:rsidR="002755CC" w:rsidRPr="002755CC" w:rsidRDefault="002755CC" w:rsidP="002755CC">
      <w:pPr>
        <w:widowControl w:val="0"/>
        <w:autoSpaceDE w:val="0"/>
        <w:autoSpaceDN w:val="0"/>
        <w:adjustRightInd w:val="0"/>
        <w:ind w:left="640" w:hanging="640"/>
        <w:rPr>
          <w:rFonts w:ascii="Calibri" w:hAnsi="Calibri" w:cs="Calibri"/>
          <w:noProof/>
          <w:szCs w:val="24"/>
        </w:rPr>
      </w:pPr>
      <w:r w:rsidRPr="002755CC">
        <w:rPr>
          <w:rFonts w:ascii="Calibri" w:hAnsi="Calibri" w:cs="Calibri"/>
          <w:noProof/>
          <w:szCs w:val="24"/>
        </w:rPr>
        <w:t>27.</w:t>
      </w:r>
      <w:r w:rsidRPr="002755CC">
        <w:rPr>
          <w:rFonts w:ascii="Calibri" w:hAnsi="Calibri" w:cs="Calibri"/>
          <w:noProof/>
          <w:szCs w:val="24"/>
        </w:rPr>
        <w:tab/>
        <w:t xml:space="preserve">Fortin, J.-P., Fertig, E. and Hansen, K. (2014) shinyMethyl: interactive quality control of Illumina 450k DNA methylation arrays in R. </w:t>
      </w:r>
      <w:r w:rsidRPr="002755CC">
        <w:rPr>
          <w:rFonts w:ascii="Calibri" w:hAnsi="Calibri" w:cs="Calibri"/>
          <w:i/>
          <w:iCs/>
          <w:noProof/>
          <w:szCs w:val="24"/>
        </w:rPr>
        <w:t>F1000Research</w:t>
      </w:r>
      <w:r w:rsidRPr="002755CC">
        <w:rPr>
          <w:rFonts w:ascii="Calibri" w:hAnsi="Calibri" w:cs="Calibri"/>
          <w:noProof/>
          <w:szCs w:val="24"/>
        </w:rPr>
        <w:t xml:space="preserve">, </w:t>
      </w:r>
      <w:r w:rsidRPr="002755CC">
        <w:rPr>
          <w:rFonts w:ascii="Calibri" w:hAnsi="Calibri" w:cs="Calibri"/>
          <w:b/>
          <w:bCs/>
          <w:noProof/>
          <w:szCs w:val="24"/>
        </w:rPr>
        <w:t>3</w:t>
      </w:r>
      <w:r w:rsidRPr="002755CC">
        <w:rPr>
          <w:rFonts w:ascii="Calibri" w:hAnsi="Calibri" w:cs="Calibri"/>
          <w:noProof/>
          <w:szCs w:val="24"/>
        </w:rPr>
        <w:t>, 175.</w:t>
      </w:r>
    </w:p>
    <w:p w14:paraId="3FDE87E8" w14:textId="77777777" w:rsidR="002755CC" w:rsidRPr="002755CC" w:rsidRDefault="002755CC" w:rsidP="002755CC">
      <w:pPr>
        <w:widowControl w:val="0"/>
        <w:autoSpaceDE w:val="0"/>
        <w:autoSpaceDN w:val="0"/>
        <w:adjustRightInd w:val="0"/>
        <w:ind w:left="640" w:hanging="640"/>
        <w:rPr>
          <w:rFonts w:ascii="Calibri" w:hAnsi="Calibri" w:cs="Calibri"/>
          <w:noProof/>
          <w:szCs w:val="24"/>
        </w:rPr>
      </w:pPr>
      <w:r w:rsidRPr="002755CC">
        <w:rPr>
          <w:rFonts w:ascii="Calibri" w:hAnsi="Calibri" w:cs="Calibri"/>
          <w:noProof/>
          <w:szCs w:val="24"/>
        </w:rPr>
        <w:t>28.</w:t>
      </w:r>
      <w:r w:rsidRPr="002755CC">
        <w:rPr>
          <w:rFonts w:ascii="Calibri" w:hAnsi="Calibri" w:cs="Calibri"/>
          <w:noProof/>
          <w:szCs w:val="24"/>
        </w:rPr>
        <w:tab/>
        <w:t xml:space="preserve">Johnson, W. E., Li, C. and Rabinovic, A. (2007) Adjusting batch effects in microarray expression data using empirical Bayes methods. </w:t>
      </w:r>
      <w:r w:rsidRPr="002755CC">
        <w:rPr>
          <w:rFonts w:ascii="Calibri" w:hAnsi="Calibri" w:cs="Calibri"/>
          <w:i/>
          <w:iCs/>
          <w:noProof/>
          <w:szCs w:val="24"/>
        </w:rPr>
        <w:t>Biostatistics</w:t>
      </w:r>
      <w:r w:rsidRPr="002755CC">
        <w:rPr>
          <w:rFonts w:ascii="Calibri" w:hAnsi="Calibri" w:cs="Calibri"/>
          <w:noProof/>
          <w:szCs w:val="24"/>
        </w:rPr>
        <w:t xml:space="preserve">, </w:t>
      </w:r>
      <w:r w:rsidRPr="002755CC">
        <w:rPr>
          <w:rFonts w:ascii="Calibri" w:hAnsi="Calibri" w:cs="Calibri"/>
          <w:b/>
          <w:bCs/>
          <w:noProof/>
          <w:szCs w:val="24"/>
        </w:rPr>
        <w:t>8</w:t>
      </w:r>
      <w:r w:rsidRPr="002755CC">
        <w:rPr>
          <w:rFonts w:ascii="Calibri" w:hAnsi="Calibri" w:cs="Calibri"/>
          <w:noProof/>
          <w:szCs w:val="24"/>
        </w:rPr>
        <w:t>, 118–127.</w:t>
      </w:r>
    </w:p>
    <w:p w14:paraId="57109B08" w14:textId="77777777" w:rsidR="002755CC" w:rsidRPr="00B50C09" w:rsidRDefault="002755CC" w:rsidP="002755CC">
      <w:pPr>
        <w:widowControl w:val="0"/>
        <w:autoSpaceDE w:val="0"/>
        <w:autoSpaceDN w:val="0"/>
        <w:adjustRightInd w:val="0"/>
        <w:ind w:left="640" w:hanging="640"/>
        <w:rPr>
          <w:rFonts w:ascii="Calibri" w:hAnsi="Calibri" w:cs="Calibri"/>
          <w:noProof/>
          <w:szCs w:val="24"/>
          <w:lang w:val="fi-FI"/>
        </w:rPr>
      </w:pPr>
      <w:r w:rsidRPr="002755CC">
        <w:rPr>
          <w:rFonts w:ascii="Calibri" w:hAnsi="Calibri" w:cs="Calibri"/>
          <w:noProof/>
          <w:szCs w:val="24"/>
        </w:rPr>
        <w:t>29.</w:t>
      </w:r>
      <w:r w:rsidRPr="002755CC">
        <w:rPr>
          <w:rFonts w:ascii="Calibri" w:hAnsi="Calibri" w:cs="Calibri"/>
          <w:noProof/>
          <w:szCs w:val="24"/>
        </w:rPr>
        <w:tab/>
        <w:t xml:space="preserve">Jarvelin, M. R., Hartikainen-Sorri, A. L. and Rantakallio, P. (1993) Labour induction policy in hospitals of different levels of specialisation. </w:t>
      </w:r>
      <w:r w:rsidRPr="00B50C09">
        <w:rPr>
          <w:rFonts w:ascii="Calibri" w:hAnsi="Calibri" w:cs="Calibri"/>
          <w:i/>
          <w:iCs/>
          <w:noProof/>
          <w:szCs w:val="24"/>
          <w:lang w:val="fi-FI"/>
        </w:rPr>
        <w:t>Br. J. Obstet. Gynaecol.</w:t>
      </w:r>
      <w:r w:rsidRPr="00B50C09">
        <w:rPr>
          <w:rFonts w:ascii="Calibri" w:hAnsi="Calibri" w:cs="Calibri"/>
          <w:noProof/>
          <w:szCs w:val="24"/>
          <w:lang w:val="fi-FI"/>
        </w:rPr>
        <w:t xml:space="preserve">, </w:t>
      </w:r>
      <w:r w:rsidRPr="00B50C09">
        <w:rPr>
          <w:rFonts w:ascii="Calibri" w:hAnsi="Calibri" w:cs="Calibri"/>
          <w:b/>
          <w:bCs/>
          <w:noProof/>
          <w:szCs w:val="24"/>
          <w:lang w:val="fi-FI"/>
        </w:rPr>
        <w:t>100</w:t>
      </w:r>
      <w:r w:rsidRPr="00B50C09">
        <w:rPr>
          <w:rFonts w:ascii="Calibri" w:hAnsi="Calibri" w:cs="Calibri"/>
          <w:noProof/>
          <w:szCs w:val="24"/>
          <w:lang w:val="fi-FI"/>
        </w:rPr>
        <w:t>, 310–315.</w:t>
      </w:r>
    </w:p>
    <w:p w14:paraId="3318743F" w14:textId="77777777" w:rsidR="002755CC" w:rsidRPr="00B50C09" w:rsidRDefault="002755CC" w:rsidP="002755CC">
      <w:pPr>
        <w:widowControl w:val="0"/>
        <w:autoSpaceDE w:val="0"/>
        <w:autoSpaceDN w:val="0"/>
        <w:adjustRightInd w:val="0"/>
        <w:ind w:left="640" w:hanging="640"/>
        <w:rPr>
          <w:rFonts w:ascii="Calibri" w:hAnsi="Calibri" w:cs="Calibri"/>
          <w:noProof/>
          <w:szCs w:val="24"/>
          <w:lang w:val="fi-FI"/>
        </w:rPr>
      </w:pPr>
      <w:r w:rsidRPr="00B50C09">
        <w:rPr>
          <w:rFonts w:ascii="Calibri" w:hAnsi="Calibri" w:cs="Calibri"/>
          <w:noProof/>
          <w:szCs w:val="24"/>
          <w:lang w:val="fi-FI"/>
        </w:rPr>
        <w:lastRenderedPageBreak/>
        <w:t>30.</w:t>
      </w:r>
      <w:r w:rsidRPr="00B50C09">
        <w:rPr>
          <w:rFonts w:ascii="Calibri" w:hAnsi="Calibri" w:cs="Calibri"/>
          <w:noProof/>
          <w:szCs w:val="24"/>
          <w:lang w:val="fi-FI"/>
        </w:rPr>
        <w:tab/>
        <w:t xml:space="preserve">Sipola-Leppanen, M., Vaarasmaki, M., Tikanmaki, M., et al. </w:t>
      </w:r>
      <w:r w:rsidRPr="002755CC">
        <w:rPr>
          <w:rFonts w:ascii="Calibri" w:hAnsi="Calibri" w:cs="Calibri"/>
          <w:noProof/>
          <w:szCs w:val="24"/>
        </w:rPr>
        <w:t xml:space="preserve">(2014) Cardiovascular risk factors in adolescents born preterm. </w:t>
      </w:r>
      <w:r w:rsidRPr="00B50C09">
        <w:rPr>
          <w:rFonts w:ascii="Calibri" w:hAnsi="Calibri" w:cs="Calibri"/>
          <w:i/>
          <w:iCs/>
          <w:noProof/>
          <w:szCs w:val="24"/>
          <w:lang w:val="fi-FI"/>
        </w:rPr>
        <w:t>Pediatrics</w:t>
      </w:r>
      <w:r w:rsidRPr="00B50C09">
        <w:rPr>
          <w:rFonts w:ascii="Calibri" w:hAnsi="Calibri" w:cs="Calibri"/>
          <w:noProof/>
          <w:szCs w:val="24"/>
          <w:lang w:val="fi-FI"/>
        </w:rPr>
        <w:t xml:space="preserve">, </w:t>
      </w:r>
      <w:r w:rsidRPr="00B50C09">
        <w:rPr>
          <w:rFonts w:ascii="Calibri" w:hAnsi="Calibri" w:cs="Calibri"/>
          <w:b/>
          <w:bCs/>
          <w:noProof/>
          <w:szCs w:val="24"/>
          <w:lang w:val="fi-FI"/>
        </w:rPr>
        <w:t>134</w:t>
      </w:r>
      <w:r w:rsidRPr="00B50C09">
        <w:rPr>
          <w:rFonts w:ascii="Calibri" w:hAnsi="Calibri" w:cs="Calibri"/>
          <w:noProof/>
          <w:szCs w:val="24"/>
          <w:lang w:val="fi-FI"/>
        </w:rPr>
        <w:t>, e1072-81.</w:t>
      </w:r>
    </w:p>
    <w:p w14:paraId="4C3075C5" w14:textId="77777777" w:rsidR="002755CC" w:rsidRPr="002755CC" w:rsidRDefault="002755CC" w:rsidP="002755CC">
      <w:pPr>
        <w:widowControl w:val="0"/>
        <w:autoSpaceDE w:val="0"/>
        <w:autoSpaceDN w:val="0"/>
        <w:adjustRightInd w:val="0"/>
        <w:ind w:left="640" w:hanging="640"/>
        <w:rPr>
          <w:rFonts w:ascii="Calibri" w:hAnsi="Calibri" w:cs="Calibri"/>
          <w:noProof/>
          <w:szCs w:val="24"/>
        </w:rPr>
      </w:pPr>
      <w:r w:rsidRPr="00B50C09">
        <w:rPr>
          <w:rFonts w:ascii="Calibri" w:hAnsi="Calibri" w:cs="Calibri"/>
          <w:noProof/>
          <w:szCs w:val="24"/>
          <w:lang w:val="fi-FI"/>
        </w:rPr>
        <w:t>31.</w:t>
      </w:r>
      <w:r w:rsidRPr="00B50C09">
        <w:rPr>
          <w:rFonts w:ascii="Calibri" w:hAnsi="Calibri" w:cs="Calibri"/>
          <w:noProof/>
          <w:szCs w:val="24"/>
          <w:lang w:val="fi-FI"/>
        </w:rPr>
        <w:tab/>
        <w:t xml:space="preserve">Girchenko, P., Lahti, M., Tuovinen, S., et al. </w:t>
      </w:r>
      <w:r w:rsidRPr="002755CC">
        <w:rPr>
          <w:rFonts w:ascii="Calibri" w:hAnsi="Calibri" w:cs="Calibri"/>
          <w:noProof/>
          <w:szCs w:val="24"/>
        </w:rPr>
        <w:t xml:space="preserve">(2017) Cohort Profile: Prediction and prevention of preeclampsia and intrauterine growth restriction (PREDO) study. </w:t>
      </w:r>
      <w:r w:rsidRPr="002755CC">
        <w:rPr>
          <w:rFonts w:ascii="Calibri" w:hAnsi="Calibri" w:cs="Calibri"/>
          <w:i/>
          <w:iCs/>
          <w:noProof/>
          <w:szCs w:val="24"/>
        </w:rPr>
        <w:t>Int. J. Epidemiol.</w:t>
      </w:r>
      <w:r w:rsidRPr="002755CC">
        <w:rPr>
          <w:rFonts w:ascii="Calibri" w:hAnsi="Calibri" w:cs="Calibri"/>
          <w:noProof/>
          <w:szCs w:val="24"/>
        </w:rPr>
        <w:t xml:space="preserve">, </w:t>
      </w:r>
      <w:r w:rsidRPr="002755CC">
        <w:rPr>
          <w:rFonts w:ascii="Calibri" w:hAnsi="Calibri" w:cs="Calibri"/>
          <w:b/>
          <w:bCs/>
          <w:noProof/>
          <w:szCs w:val="24"/>
        </w:rPr>
        <w:t>46</w:t>
      </w:r>
      <w:r w:rsidRPr="002755CC">
        <w:rPr>
          <w:rFonts w:ascii="Calibri" w:hAnsi="Calibri" w:cs="Calibri"/>
          <w:noProof/>
          <w:szCs w:val="24"/>
        </w:rPr>
        <w:t>, 1380-1381g.</w:t>
      </w:r>
    </w:p>
    <w:p w14:paraId="7A22DB15" w14:textId="77777777" w:rsidR="002755CC" w:rsidRPr="002755CC" w:rsidRDefault="002755CC" w:rsidP="002755CC">
      <w:pPr>
        <w:widowControl w:val="0"/>
        <w:autoSpaceDE w:val="0"/>
        <w:autoSpaceDN w:val="0"/>
        <w:adjustRightInd w:val="0"/>
        <w:ind w:left="640" w:hanging="640"/>
        <w:rPr>
          <w:rFonts w:ascii="Calibri" w:hAnsi="Calibri" w:cs="Calibri"/>
          <w:noProof/>
          <w:szCs w:val="24"/>
        </w:rPr>
      </w:pPr>
      <w:r w:rsidRPr="002755CC">
        <w:rPr>
          <w:rFonts w:ascii="Calibri" w:hAnsi="Calibri" w:cs="Calibri"/>
          <w:noProof/>
          <w:szCs w:val="24"/>
        </w:rPr>
        <w:t>32.</w:t>
      </w:r>
      <w:r w:rsidRPr="002755CC">
        <w:rPr>
          <w:rFonts w:ascii="Calibri" w:hAnsi="Calibri" w:cs="Calibri"/>
          <w:noProof/>
          <w:szCs w:val="24"/>
        </w:rPr>
        <w:tab/>
        <w:t xml:space="preserve">Price, M. E., Cotton, A. M., Lam, L. L., et al. (2013) Additional annotation enhances potential for biologically-relevant analysis of the Illumina Infinium HumanMethylation450 BeadChip array. </w:t>
      </w:r>
      <w:r w:rsidRPr="002755CC">
        <w:rPr>
          <w:rFonts w:ascii="Calibri" w:hAnsi="Calibri" w:cs="Calibri"/>
          <w:i/>
          <w:iCs/>
          <w:noProof/>
          <w:szCs w:val="24"/>
        </w:rPr>
        <w:t>Epigenetics Chromatin</w:t>
      </w:r>
      <w:r w:rsidRPr="002755CC">
        <w:rPr>
          <w:rFonts w:ascii="Calibri" w:hAnsi="Calibri" w:cs="Calibri"/>
          <w:noProof/>
          <w:szCs w:val="24"/>
        </w:rPr>
        <w:t xml:space="preserve">, </w:t>
      </w:r>
      <w:r w:rsidRPr="002755CC">
        <w:rPr>
          <w:rFonts w:ascii="Calibri" w:hAnsi="Calibri" w:cs="Calibri"/>
          <w:b/>
          <w:bCs/>
          <w:noProof/>
          <w:szCs w:val="24"/>
        </w:rPr>
        <w:t>6</w:t>
      </w:r>
      <w:r w:rsidRPr="002755CC">
        <w:rPr>
          <w:rFonts w:ascii="Calibri" w:hAnsi="Calibri" w:cs="Calibri"/>
          <w:noProof/>
          <w:szCs w:val="24"/>
        </w:rPr>
        <w:t>, 4.</w:t>
      </w:r>
    </w:p>
    <w:p w14:paraId="263BB0A3" w14:textId="77777777" w:rsidR="002755CC" w:rsidRPr="002755CC" w:rsidRDefault="002755CC" w:rsidP="002755CC">
      <w:pPr>
        <w:widowControl w:val="0"/>
        <w:autoSpaceDE w:val="0"/>
        <w:autoSpaceDN w:val="0"/>
        <w:adjustRightInd w:val="0"/>
        <w:ind w:left="640" w:hanging="640"/>
        <w:rPr>
          <w:rFonts w:ascii="Calibri" w:hAnsi="Calibri" w:cs="Calibri"/>
          <w:noProof/>
          <w:szCs w:val="24"/>
        </w:rPr>
      </w:pPr>
      <w:r w:rsidRPr="002755CC">
        <w:rPr>
          <w:rFonts w:ascii="Calibri" w:hAnsi="Calibri" w:cs="Calibri"/>
          <w:noProof/>
          <w:szCs w:val="24"/>
        </w:rPr>
        <w:t>33.</w:t>
      </w:r>
      <w:r w:rsidRPr="002755CC">
        <w:rPr>
          <w:rFonts w:ascii="Calibri" w:hAnsi="Calibri" w:cs="Calibri"/>
          <w:noProof/>
          <w:szCs w:val="24"/>
        </w:rPr>
        <w:tab/>
        <w:t xml:space="preserve">Braun, J. M., Wright, R. J., Just, A. C., et al. (2014) Relationships between lead biomarkers and diurnal salivary cortisol indices in pregnant women from Mexico City: a cross-sectional study. </w:t>
      </w:r>
      <w:r w:rsidRPr="002755CC">
        <w:rPr>
          <w:rFonts w:ascii="Calibri" w:hAnsi="Calibri" w:cs="Calibri"/>
          <w:i/>
          <w:iCs/>
          <w:noProof/>
          <w:szCs w:val="24"/>
        </w:rPr>
        <w:t>Environ. Health</w:t>
      </w:r>
      <w:r w:rsidRPr="002755CC">
        <w:rPr>
          <w:rFonts w:ascii="Calibri" w:hAnsi="Calibri" w:cs="Calibri"/>
          <w:noProof/>
          <w:szCs w:val="24"/>
        </w:rPr>
        <w:t xml:space="preserve">, </w:t>
      </w:r>
      <w:r w:rsidRPr="002755CC">
        <w:rPr>
          <w:rFonts w:ascii="Calibri" w:hAnsi="Calibri" w:cs="Calibri"/>
          <w:b/>
          <w:bCs/>
          <w:noProof/>
          <w:szCs w:val="24"/>
        </w:rPr>
        <w:t>13</w:t>
      </w:r>
      <w:r w:rsidRPr="002755CC">
        <w:rPr>
          <w:rFonts w:ascii="Calibri" w:hAnsi="Calibri" w:cs="Calibri"/>
          <w:noProof/>
          <w:szCs w:val="24"/>
        </w:rPr>
        <w:t>, 50.</w:t>
      </w:r>
    </w:p>
    <w:p w14:paraId="5AF4285E" w14:textId="77777777" w:rsidR="002755CC" w:rsidRPr="002755CC" w:rsidRDefault="002755CC" w:rsidP="002755CC">
      <w:pPr>
        <w:widowControl w:val="0"/>
        <w:autoSpaceDE w:val="0"/>
        <w:autoSpaceDN w:val="0"/>
        <w:adjustRightInd w:val="0"/>
        <w:ind w:left="640" w:hanging="640"/>
        <w:rPr>
          <w:rFonts w:ascii="Calibri" w:hAnsi="Calibri" w:cs="Calibri"/>
          <w:noProof/>
          <w:szCs w:val="24"/>
        </w:rPr>
      </w:pPr>
      <w:r w:rsidRPr="002755CC">
        <w:rPr>
          <w:rFonts w:ascii="Calibri" w:hAnsi="Calibri" w:cs="Calibri"/>
          <w:noProof/>
          <w:szCs w:val="24"/>
        </w:rPr>
        <w:t>34.</w:t>
      </w:r>
      <w:r w:rsidRPr="002755CC">
        <w:rPr>
          <w:rFonts w:ascii="Calibri" w:hAnsi="Calibri" w:cs="Calibri"/>
          <w:noProof/>
          <w:szCs w:val="24"/>
        </w:rPr>
        <w:tab/>
        <w:t xml:space="preserve">Burris, H. H., Braun, J. M., Byun, H.-M., et al. (2013) Association between birth weight and DNA methylation of IGF2, glucocorticoid receptor and repetitive elements LINE-1 and Alu. </w:t>
      </w:r>
      <w:r w:rsidRPr="002755CC">
        <w:rPr>
          <w:rFonts w:ascii="Calibri" w:hAnsi="Calibri" w:cs="Calibri"/>
          <w:i/>
          <w:iCs/>
          <w:noProof/>
          <w:szCs w:val="24"/>
        </w:rPr>
        <w:t>Epigenomics</w:t>
      </w:r>
      <w:r w:rsidRPr="002755CC">
        <w:rPr>
          <w:rFonts w:ascii="Calibri" w:hAnsi="Calibri" w:cs="Calibri"/>
          <w:noProof/>
          <w:szCs w:val="24"/>
        </w:rPr>
        <w:t xml:space="preserve">, </w:t>
      </w:r>
      <w:r w:rsidRPr="002755CC">
        <w:rPr>
          <w:rFonts w:ascii="Calibri" w:hAnsi="Calibri" w:cs="Calibri"/>
          <w:b/>
          <w:bCs/>
          <w:noProof/>
          <w:szCs w:val="24"/>
        </w:rPr>
        <w:t>5</w:t>
      </w:r>
      <w:r w:rsidRPr="002755CC">
        <w:rPr>
          <w:rFonts w:ascii="Calibri" w:hAnsi="Calibri" w:cs="Calibri"/>
          <w:noProof/>
          <w:szCs w:val="24"/>
        </w:rPr>
        <w:t>, 271–281.</w:t>
      </w:r>
    </w:p>
    <w:p w14:paraId="63BD7F1B" w14:textId="77777777" w:rsidR="002755CC" w:rsidRPr="002755CC" w:rsidRDefault="002755CC" w:rsidP="002755CC">
      <w:pPr>
        <w:widowControl w:val="0"/>
        <w:autoSpaceDE w:val="0"/>
        <w:autoSpaceDN w:val="0"/>
        <w:adjustRightInd w:val="0"/>
        <w:ind w:left="640" w:hanging="640"/>
        <w:rPr>
          <w:rFonts w:ascii="Calibri" w:hAnsi="Calibri" w:cs="Calibri"/>
          <w:noProof/>
          <w:szCs w:val="24"/>
        </w:rPr>
      </w:pPr>
      <w:r w:rsidRPr="002755CC">
        <w:rPr>
          <w:rFonts w:ascii="Calibri" w:hAnsi="Calibri" w:cs="Calibri"/>
          <w:noProof/>
          <w:szCs w:val="24"/>
        </w:rPr>
        <w:t>35.</w:t>
      </w:r>
      <w:r w:rsidRPr="002755CC">
        <w:rPr>
          <w:rFonts w:ascii="Calibri" w:hAnsi="Calibri" w:cs="Calibri"/>
          <w:noProof/>
          <w:szCs w:val="24"/>
        </w:rPr>
        <w:tab/>
        <w:t xml:space="preserve">Rosa, M. J., Just, A. C., Guerra, M. S., et al. (2017) Identifying sensitive windows for prenatal particulate air pollution exposure and mitochondrial DNA content in cord blood. </w:t>
      </w:r>
      <w:r w:rsidRPr="002755CC">
        <w:rPr>
          <w:rFonts w:ascii="Calibri" w:hAnsi="Calibri" w:cs="Calibri"/>
          <w:i/>
          <w:iCs/>
          <w:noProof/>
          <w:szCs w:val="24"/>
        </w:rPr>
        <w:t>Environ. Int.</w:t>
      </w:r>
      <w:r w:rsidRPr="002755CC">
        <w:rPr>
          <w:rFonts w:ascii="Calibri" w:hAnsi="Calibri" w:cs="Calibri"/>
          <w:noProof/>
          <w:szCs w:val="24"/>
        </w:rPr>
        <w:t xml:space="preserve">, </w:t>
      </w:r>
      <w:r w:rsidRPr="002755CC">
        <w:rPr>
          <w:rFonts w:ascii="Calibri" w:hAnsi="Calibri" w:cs="Calibri"/>
          <w:b/>
          <w:bCs/>
          <w:noProof/>
          <w:szCs w:val="24"/>
        </w:rPr>
        <w:t>98</w:t>
      </w:r>
      <w:r w:rsidRPr="002755CC">
        <w:rPr>
          <w:rFonts w:ascii="Calibri" w:hAnsi="Calibri" w:cs="Calibri"/>
          <w:noProof/>
          <w:szCs w:val="24"/>
        </w:rPr>
        <w:t>, 198–203.</w:t>
      </w:r>
    </w:p>
    <w:p w14:paraId="77C20A4B" w14:textId="77777777" w:rsidR="002755CC" w:rsidRPr="002755CC" w:rsidRDefault="002755CC" w:rsidP="002755CC">
      <w:pPr>
        <w:widowControl w:val="0"/>
        <w:autoSpaceDE w:val="0"/>
        <w:autoSpaceDN w:val="0"/>
        <w:adjustRightInd w:val="0"/>
        <w:ind w:left="640" w:hanging="640"/>
        <w:rPr>
          <w:rFonts w:ascii="Calibri" w:hAnsi="Calibri" w:cs="Calibri"/>
          <w:noProof/>
          <w:szCs w:val="24"/>
        </w:rPr>
      </w:pPr>
      <w:r w:rsidRPr="002755CC">
        <w:rPr>
          <w:rFonts w:ascii="Calibri" w:hAnsi="Calibri" w:cs="Calibri"/>
          <w:noProof/>
          <w:szCs w:val="24"/>
        </w:rPr>
        <w:t>36.</w:t>
      </w:r>
      <w:r w:rsidRPr="002755CC">
        <w:rPr>
          <w:rFonts w:ascii="Calibri" w:hAnsi="Calibri" w:cs="Calibri"/>
          <w:noProof/>
          <w:szCs w:val="24"/>
        </w:rPr>
        <w:tab/>
        <w:t xml:space="preserve">Heiss, J. A. and Just, A. C. (2018) Identifying mislabeled and contaminated DNA methylation microarray data: an extended quality control toolset with examples from GEO. </w:t>
      </w:r>
      <w:r w:rsidRPr="002755CC">
        <w:rPr>
          <w:rFonts w:ascii="Calibri" w:hAnsi="Calibri" w:cs="Calibri"/>
          <w:i/>
          <w:iCs/>
          <w:noProof/>
          <w:szCs w:val="24"/>
        </w:rPr>
        <w:t>Clin. Epigenetics</w:t>
      </w:r>
      <w:r w:rsidRPr="002755CC">
        <w:rPr>
          <w:rFonts w:ascii="Calibri" w:hAnsi="Calibri" w:cs="Calibri"/>
          <w:noProof/>
          <w:szCs w:val="24"/>
        </w:rPr>
        <w:t xml:space="preserve">, </w:t>
      </w:r>
      <w:r w:rsidRPr="002755CC">
        <w:rPr>
          <w:rFonts w:ascii="Calibri" w:hAnsi="Calibri" w:cs="Calibri"/>
          <w:b/>
          <w:bCs/>
          <w:noProof/>
          <w:szCs w:val="24"/>
        </w:rPr>
        <w:t>10</w:t>
      </w:r>
      <w:r w:rsidRPr="002755CC">
        <w:rPr>
          <w:rFonts w:ascii="Calibri" w:hAnsi="Calibri" w:cs="Calibri"/>
          <w:noProof/>
          <w:szCs w:val="24"/>
        </w:rPr>
        <w:t>, 73.</w:t>
      </w:r>
    </w:p>
    <w:p w14:paraId="6A11D721" w14:textId="77777777" w:rsidR="002755CC" w:rsidRPr="002755CC" w:rsidRDefault="002755CC" w:rsidP="002755CC">
      <w:pPr>
        <w:widowControl w:val="0"/>
        <w:autoSpaceDE w:val="0"/>
        <w:autoSpaceDN w:val="0"/>
        <w:adjustRightInd w:val="0"/>
        <w:ind w:left="640" w:hanging="640"/>
        <w:rPr>
          <w:rFonts w:ascii="Calibri" w:hAnsi="Calibri" w:cs="Calibri"/>
          <w:noProof/>
          <w:szCs w:val="24"/>
        </w:rPr>
      </w:pPr>
      <w:r w:rsidRPr="002755CC">
        <w:rPr>
          <w:rFonts w:ascii="Calibri" w:hAnsi="Calibri" w:cs="Calibri"/>
          <w:noProof/>
          <w:szCs w:val="24"/>
        </w:rPr>
        <w:t>37.</w:t>
      </w:r>
      <w:r w:rsidRPr="002755CC">
        <w:rPr>
          <w:rFonts w:ascii="Calibri" w:hAnsi="Calibri" w:cs="Calibri"/>
          <w:noProof/>
          <w:szCs w:val="24"/>
        </w:rPr>
        <w:tab/>
        <w:t xml:space="preserve">Xu, Z., Langie, S. A. S., De Boever, P., et al. (2017) RELIC: a novel dye-bias correction method for Illumina Methylation BeadChip. </w:t>
      </w:r>
      <w:r w:rsidRPr="002755CC">
        <w:rPr>
          <w:rFonts w:ascii="Calibri" w:hAnsi="Calibri" w:cs="Calibri"/>
          <w:i/>
          <w:iCs/>
          <w:noProof/>
          <w:szCs w:val="24"/>
        </w:rPr>
        <w:t>BMC Genomics</w:t>
      </w:r>
      <w:r w:rsidRPr="002755CC">
        <w:rPr>
          <w:rFonts w:ascii="Calibri" w:hAnsi="Calibri" w:cs="Calibri"/>
          <w:noProof/>
          <w:szCs w:val="24"/>
        </w:rPr>
        <w:t xml:space="preserve">, </w:t>
      </w:r>
      <w:r w:rsidRPr="002755CC">
        <w:rPr>
          <w:rFonts w:ascii="Calibri" w:hAnsi="Calibri" w:cs="Calibri"/>
          <w:b/>
          <w:bCs/>
          <w:noProof/>
          <w:szCs w:val="24"/>
        </w:rPr>
        <w:t>18</w:t>
      </w:r>
      <w:r w:rsidRPr="002755CC">
        <w:rPr>
          <w:rFonts w:ascii="Calibri" w:hAnsi="Calibri" w:cs="Calibri"/>
          <w:noProof/>
          <w:szCs w:val="24"/>
        </w:rPr>
        <w:t>, 4.</w:t>
      </w:r>
    </w:p>
    <w:p w14:paraId="4976FECE" w14:textId="77777777" w:rsidR="002755CC" w:rsidRPr="002755CC" w:rsidRDefault="002755CC" w:rsidP="002755CC">
      <w:pPr>
        <w:widowControl w:val="0"/>
        <w:autoSpaceDE w:val="0"/>
        <w:autoSpaceDN w:val="0"/>
        <w:adjustRightInd w:val="0"/>
        <w:ind w:left="640" w:hanging="640"/>
        <w:rPr>
          <w:rFonts w:ascii="Calibri" w:hAnsi="Calibri" w:cs="Calibri"/>
          <w:noProof/>
          <w:szCs w:val="24"/>
        </w:rPr>
      </w:pPr>
      <w:r w:rsidRPr="002755CC">
        <w:rPr>
          <w:rFonts w:ascii="Calibri" w:hAnsi="Calibri" w:cs="Calibri"/>
          <w:noProof/>
          <w:szCs w:val="24"/>
        </w:rPr>
        <w:t>38.</w:t>
      </w:r>
      <w:r w:rsidRPr="002755CC">
        <w:rPr>
          <w:rFonts w:ascii="Calibri" w:hAnsi="Calibri" w:cs="Calibri"/>
          <w:noProof/>
          <w:szCs w:val="24"/>
        </w:rPr>
        <w:tab/>
        <w:t xml:space="preserve">Heiss, J. A. and Brenner, H. (2015) Between-array normalization for 450K data. </w:t>
      </w:r>
      <w:r w:rsidRPr="002755CC">
        <w:rPr>
          <w:rFonts w:ascii="Calibri" w:hAnsi="Calibri" w:cs="Calibri"/>
          <w:i/>
          <w:iCs/>
          <w:noProof/>
          <w:szCs w:val="24"/>
        </w:rPr>
        <w:t>Front. Genet.</w:t>
      </w:r>
      <w:r w:rsidRPr="002755CC">
        <w:rPr>
          <w:rFonts w:ascii="Calibri" w:hAnsi="Calibri" w:cs="Calibri"/>
          <w:noProof/>
          <w:szCs w:val="24"/>
        </w:rPr>
        <w:t xml:space="preserve">, </w:t>
      </w:r>
      <w:r w:rsidRPr="002755CC">
        <w:rPr>
          <w:rFonts w:ascii="Calibri" w:hAnsi="Calibri" w:cs="Calibri"/>
          <w:b/>
          <w:bCs/>
          <w:noProof/>
          <w:szCs w:val="24"/>
        </w:rPr>
        <w:t>6</w:t>
      </w:r>
      <w:r w:rsidRPr="002755CC">
        <w:rPr>
          <w:rFonts w:ascii="Calibri" w:hAnsi="Calibri" w:cs="Calibri"/>
          <w:noProof/>
          <w:szCs w:val="24"/>
        </w:rPr>
        <w:t>, 92.</w:t>
      </w:r>
    </w:p>
    <w:p w14:paraId="7519FB4D" w14:textId="77777777" w:rsidR="002755CC" w:rsidRPr="002755CC" w:rsidRDefault="002755CC" w:rsidP="002755CC">
      <w:pPr>
        <w:widowControl w:val="0"/>
        <w:autoSpaceDE w:val="0"/>
        <w:autoSpaceDN w:val="0"/>
        <w:adjustRightInd w:val="0"/>
        <w:ind w:left="640" w:hanging="640"/>
        <w:rPr>
          <w:rFonts w:ascii="Calibri" w:hAnsi="Calibri" w:cs="Calibri"/>
          <w:noProof/>
          <w:szCs w:val="24"/>
        </w:rPr>
      </w:pPr>
      <w:r w:rsidRPr="002755CC">
        <w:rPr>
          <w:rFonts w:ascii="Calibri" w:hAnsi="Calibri" w:cs="Calibri"/>
          <w:noProof/>
          <w:szCs w:val="24"/>
        </w:rPr>
        <w:lastRenderedPageBreak/>
        <w:t>39.</w:t>
      </w:r>
      <w:r w:rsidRPr="002755CC">
        <w:rPr>
          <w:rFonts w:ascii="Calibri" w:hAnsi="Calibri" w:cs="Calibri"/>
          <w:noProof/>
          <w:szCs w:val="24"/>
        </w:rPr>
        <w:tab/>
        <w:t xml:space="preserve">Newnham, J. P., Evans, S. F., Michael, C. A., et al. (1993) Effects of frequent ultrasound during pregnancy: a randomised controlled trial. </w:t>
      </w:r>
      <w:r w:rsidRPr="002755CC">
        <w:rPr>
          <w:rFonts w:ascii="Calibri" w:hAnsi="Calibri" w:cs="Calibri"/>
          <w:i/>
          <w:iCs/>
          <w:noProof/>
          <w:szCs w:val="24"/>
        </w:rPr>
        <w:t>Lancet (London, England)</w:t>
      </w:r>
      <w:r w:rsidRPr="002755CC">
        <w:rPr>
          <w:rFonts w:ascii="Calibri" w:hAnsi="Calibri" w:cs="Calibri"/>
          <w:noProof/>
          <w:szCs w:val="24"/>
        </w:rPr>
        <w:t xml:space="preserve">, </w:t>
      </w:r>
      <w:r w:rsidRPr="002755CC">
        <w:rPr>
          <w:rFonts w:ascii="Calibri" w:hAnsi="Calibri" w:cs="Calibri"/>
          <w:b/>
          <w:bCs/>
          <w:noProof/>
          <w:szCs w:val="24"/>
        </w:rPr>
        <w:t>342</w:t>
      </w:r>
      <w:r w:rsidRPr="002755CC">
        <w:rPr>
          <w:rFonts w:ascii="Calibri" w:hAnsi="Calibri" w:cs="Calibri"/>
          <w:noProof/>
          <w:szCs w:val="24"/>
        </w:rPr>
        <w:t>, 887–891.</w:t>
      </w:r>
    </w:p>
    <w:p w14:paraId="00CAAA58" w14:textId="77777777" w:rsidR="002755CC" w:rsidRPr="002755CC" w:rsidRDefault="002755CC" w:rsidP="002755CC">
      <w:pPr>
        <w:widowControl w:val="0"/>
        <w:autoSpaceDE w:val="0"/>
        <w:autoSpaceDN w:val="0"/>
        <w:adjustRightInd w:val="0"/>
        <w:ind w:left="640" w:hanging="640"/>
        <w:rPr>
          <w:rFonts w:ascii="Calibri" w:hAnsi="Calibri" w:cs="Calibri"/>
          <w:noProof/>
          <w:szCs w:val="24"/>
        </w:rPr>
      </w:pPr>
      <w:r w:rsidRPr="002755CC">
        <w:rPr>
          <w:rFonts w:ascii="Calibri" w:hAnsi="Calibri" w:cs="Calibri"/>
          <w:noProof/>
          <w:szCs w:val="24"/>
        </w:rPr>
        <w:t>40.</w:t>
      </w:r>
      <w:r w:rsidRPr="002755CC">
        <w:rPr>
          <w:rFonts w:ascii="Calibri" w:hAnsi="Calibri" w:cs="Calibri"/>
          <w:noProof/>
          <w:szCs w:val="24"/>
        </w:rPr>
        <w:tab/>
        <w:t xml:space="preserve">Straker, L., Mountain, J., Jacques, A., et al. (2017) Cohort Profile: The Western Australian Pregnancy Cohort (Raine) Study- Generation 2. </w:t>
      </w:r>
      <w:r w:rsidRPr="002755CC">
        <w:rPr>
          <w:rFonts w:ascii="Calibri" w:hAnsi="Calibri" w:cs="Calibri"/>
          <w:i/>
          <w:iCs/>
          <w:noProof/>
          <w:szCs w:val="24"/>
        </w:rPr>
        <w:t>Int. J. Epidemiol.</w:t>
      </w:r>
      <w:r w:rsidRPr="002755CC">
        <w:rPr>
          <w:rFonts w:ascii="Calibri" w:hAnsi="Calibri" w:cs="Calibri"/>
          <w:noProof/>
          <w:szCs w:val="24"/>
        </w:rPr>
        <w:t xml:space="preserve">, </w:t>
      </w:r>
      <w:r w:rsidRPr="002755CC">
        <w:rPr>
          <w:rFonts w:ascii="Calibri" w:hAnsi="Calibri" w:cs="Calibri"/>
          <w:b/>
          <w:bCs/>
          <w:noProof/>
          <w:szCs w:val="24"/>
        </w:rPr>
        <w:t>46</w:t>
      </w:r>
      <w:r w:rsidRPr="002755CC">
        <w:rPr>
          <w:rFonts w:ascii="Calibri" w:hAnsi="Calibri" w:cs="Calibri"/>
          <w:noProof/>
          <w:szCs w:val="24"/>
        </w:rPr>
        <w:t>, 1384-1385j.</w:t>
      </w:r>
    </w:p>
    <w:p w14:paraId="79F59EB3" w14:textId="77777777" w:rsidR="002755CC" w:rsidRPr="002755CC" w:rsidRDefault="002755CC" w:rsidP="002755CC">
      <w:pPr>
        <w:widowControl w:val="0"/>
        <w:autoSpaceDE w:val="0"/>
        <w:autoSpaceDN w:val="0"/>
        <w:adjustRightInd w:val="0"/>
        <w:ind w:left="640" w:hanging="640"/>
        <w:rPr>
          <w:rFonts w:ascii="Calibri" w:hAnsi="Calibri" w:cs="Calibri"/>
          <w:noProof/>
        </w:rPr>
      </w:pPr>
      <w:r w:rsidRPr="002755CC">
        <w:rPr>
          <w:rFonts w:ascii="Calibri" w:hAnsi="Calibri" w:cs="Calibri"/>
          <w:noProof/>
          <w:szCs w:val="24"/>
        </w:rPr>
        <w:t>41.</w:t>
      </w:r>
      <w:r w:rsidRPr="002755CC">
        <w:rPr>
          <w:rFonts w:ascii="Calibri" w:hAnsi="Calibri" w:cs="Calibri"/>
          <w:noProof/>
          <w:szCs w:val="24"/>
        </w:rPr>
        <w:tab/>
        <w:t xml:space="preserve">Teschendorff, A. E., Marabita, F., Lechner, M., et al. (2013) A beta-mixture quantile normalization method for correcting probe design bias in Illumina Infinium 450 k DNA methylation data. </w:t>
      </w:r>
      <w:r w:rsidRPr="002755CC">
        <w:rPr>
          <w:rFonts w:ascii="Calibri" w:hAnsi="Calibri" w:cs="Calibri"/>
          <w:i/>
          <w:iCs/>
          <w:noProof/>
          <w:szCs w:val="24"/>
        </w:rPr>
        <w:t>Bioinformatics</w:t>
      </w:r>
      <w:r w:rsidRPr="002755CC">
        <w:rPr>
          <w:rFonts w:ascii="Calibri" w:hAnsi="Calibri" w:cs="Calibri"/>
          <w:noProof/>
          <w:szCs w:val="24"/>
        </w:rPr>
        <w:t xml:space="preserve">, </w:t>
      </w:r>
      <w:r w:rsidRPr="002755CC">
        <w:rPr>
          <w:rFonts w:ascii="Calibri" w:hAnsi="Calibri" w:cs="Calibri"/>
          <w:b/>
          <w:bCs/>
          <w:noProof/>
          <w:szCs w:val="24"/>
        </w:rPr>
        <w:t>29</w:t>
      </w:r>
      <w:r w:rsidRPr="002755CC">
        <w:rPr>
          <w:rFonts w:ascii="Calibri" w:hAnsi="Calibri" w:cs="Calibri"/>
          <w:noProof/>
          <w:szCs w:val="24"/>
        </w:rPr>
        <w:t>, 189–196.</w:t>
      </w:r>
    </w:p>
    <w:p w14:paraId="65EA6681" w14:textId="1D50242B" w:rsidR="00B35B16" w:rsidRPr="00F774A6" w:rsidRDefault="00D63BD0" w:rsidP="00E94962">
      <w:r>
        <w:fldChar w:fldCharType="end"/>
      </w:r>
    </w:p>
    <w:sectPr w:rsidR="00B35B16" w:rsidRPr="00F774A6" w:rsidSect="007C475D">
      <w:pgSz w:w="11906" w:h="16838"/>
      <w:pgMar w:top="1134" w:right="1134" w:bottom="1134" w:left="1134" w:header="708" w:footer="708" w:gutter="0"/>
      <w:lnNumType w:countBy="1" w:restart="continuou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D9677D"/>
    <w:multiLevelType w:val="hybridMultilevel"/>
    <w:tmpl w:val="19288664"/>
    <w:lvl w:ilvl="0" w:tplc="44D02F9C">
      <w:numFmt w:val="bullet"/>
      <w:lvlText w:val=""/>
      <w:lvlJc w:val="left"/>
      <w:pPr>
        <w:ind w:left="720" w:hanging="360"/>
      </w:pPr>
      <w:rPr>
        <w:rFonts w:ascii="Symbol" w:eastAsiaTheme="minorHAnsi"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5335AE4"/>
    <w:multiLevelType w:val="hybridMultilevel"/>
    <w:tmpl w:val="56DEE1BE"/>
    <w:lvl w:ilvl="0" w:tplc="EBDC1A32">
      <w:start w:val="1"/>
      <w:numFmt w:val="decimal"/>
      <w:lvlText w:val="%1"/>
      <w:lvlJc w:val="left"/>
      <w:pPr>
        <w:tabs>
          <w:tab w:val="num" w:pos="539"/>
        </w:tabs>
        <w:ind w:left="539" w:hanging="179"/>
      </w:pPr>
      <w:rPr>
        <w:rFonts w:ascii="Calibri" w:hAnsi="Calibri" w:hint="default"/>
        <w:sz w:val="22"/>
        <w:vertAlign w:val="superscrip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653C03FA"/>
    <w:multiLevelType w:val="hybridMultilevel"/>
    <w:tmpl w:val="56DEE1BE"/>
    <w:lvl w:ilvl="0" w:tplc="EBDC1A32">
      <w:start w:val="1"/>
      <w:numFmt w:val="decimal"/>
      <w:lvlText w:val="%1"/>
      <w:lvlJc w:val="left"/>
      <w:pPr>
        <w:tabs>
          <w:tab w:val="num" w:pos="539"/>
        </w:tabs>
        <w:ind w:left="539" w:hanging="179"/>
      </w:pPr>
      <w:rPr>
        <w:rFonts w:ascii="Calibri" w:hAnsi="Calibri" w:hint="default"/>
        <w:sz w:val="22"/>
        <w:vertAlign w:val="superscrip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69A953D5"/>
    <w:multiLevelType w:val="hybridMultilevel"/>
    <w:tmpl w:val="93EA21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9D93C61"/>
    <w:multiLevelType w:val="hybridMultilevel"/>
    <w:tmpl w:val="2ED04D30"/>
    <w:lvl w:ilvl="0" w:tplc="9B964B96">
      <w:start w:val="1"/>
      <w:numFmt w:val="bullet"/>
      <w:pStyle w:val="Omalista"/>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69E9"/>
    <w:rsid w:val="0000545E"/>
    <w:rsid w:val="00005B33"/>
    <w:rsid w:val="00005BA6"/>
    <w:rsid w:val="00006578"/>
    <w:rsid w:val="000066A9"/>
    <w:rsid w:val="0001323D"/>
    <w:rsid w:val="00017B68"/>
    <w:rsid w:val="00020A30"/>
    <w:rsid w:val="00021D4C"/>
    <w:rsid w:val="00036616"/>
    <w:rsid w:val="0004403F"/>
    <w:rsid w:val="00080D22"/>
    <w:rsid w:val="0008334A"/>
    <w:rsid w:val="00083DF2"/>
    <w:rsid w:val="0009035F"/>
    <w:rsid w:val="00093414"/>
    <w:rsid w:val="00094416"/>
    <w:rsid w:val="000973C8"/>
    <w:rsid w:val="000A12BB"/>
    <w:rsid w:val="000A250C"/>
    <w:rsid w:val="000A3D80"/>
    <w:rsid w:val="000B70B2"/>
    <w:rsid w:val="000C072F"/>
    <w:rsid w:val="000C470F"/>
    <w:rsid w:val="000D1B75"/>
    <w:rsid w:val="000D513E"/>
    <w:rsid w:val="000E0267"/>
    <w:rsid w:val="000E4517"/>
    <w:rsid w:val="000E48E2"/>
    <w:rsid w:val="000F2565"/>
    <w:rsid w:val="0010327B"/>
    <w:rsid w:val="001108EA"/>
    <w:rsid w:val="00111A26"/>
    <w:rsid w:val="00136C0B"/>
    <w:rsid w:val="00136F28"/>
    <w:rsid w:val="00153DC8"/>
    <w:rsid w:val="00157100"/>
    <w:rsid w:val="00160921"/>
    <w:rsid w:val="001622F2"/>
    <w:rsid w:val="00164BB9"/>
    <w:rsid w:val="00171898"/>
    <w:rsid w:val="00176519"/>
    <w:rsid w:val="00191DED"/>
    <w:rsid w:val="001A1CBA"/>
    <w:rsid w:val="001B2CFD"/>
    <w:rsid w:val="001C040F"/>
    <w:rsid w:val="001C4100"/>
    <w:rsid w:val="001D219B"/>
    <w:rsid w:val="001D5B0E"/>
    <w:rsid w:val="001D6AF9"/>
    <w:rsid w:val="001E5022"/>
    <w:rsid w:val="001F51B3"/>
    <w:rsid w:val="001F5409"/>
    <w:rsid w:val="00220B38"/>
    <w:rsid w:val="00223F8E"/>
    <w:rsid w:val="0023536C"/>
    <w:rsid w:val="00236465"/>
    <w:rsid w:val="002468D1"/>
    <w:rsid w:val="00251146"/>
    <w:rsid w:val="00252394"/>
    <w:rsid w:val="0026002C"/>
    <w:rsid w:val="0026774D"/>
    <w:rsid w:val="00267CDF"/>
    <w:rsid w:val="002755CC"/>
    <w:rsid w:val="0028050F"/>
    <w:rsid w:val="00284936"/>
    <w:rsid w:val="002A681C"/>
    <w:rsid w:val="002B0B86"/>
    <w:rsid w:val="002B2F66"/>
    <w:rsid w:val="002C6709"/>
    <w:rsid w:val="002C7ABD"/>
    <w:rsid w:val="002D67FD"/>
    <w:rsid w:val="002E61B4"/>
    <w:rsid w:val="002E73A7"/>
    <w:rsid w:val="002F0BAA"/>
    <w:rsid w:val="002F2CCB"/>
    <w:rsid w:val="002F5F64"/>
    <w:rsid w:val="00310856"/>
    <w:rsid w:val="00313DA5"/>
    <w:rsid w:val="00317651"/>
    <w:rsid w:val="00320423"/>
    <w:rsid w:val="003262A7"/>
    <w:rsid w:val="0032761C"/>
    <w:rsid w:val="00332889"/>
    <w:rsid w:val="00345D44"/>
    <w:rsid w:val="00350E0E"/>
    <w:rsid w:val="00376AE1"/>
    <w:rsid w:val="00377B4A"/>
    <w:rsid w:val="003836C3"/>
    <w:rsid w:val="003842BD"/>
    <w:rsid w:val="00394473"/>
    <w:rsid w:val="00396049"/>
    <w:rsid w:val="003A3440"/>
    <w:rsid w:val="003B01CB"/>
    <w:rsid w:val="003B2327"/>
    <w:rsid w:val="003B2891"/>
    <w:rsid w:val="003C4CA3"/>
    <w:rsid w:val="003D1D79"/>
    <w:rsid w:val="003F2413"/>
    <w:rsid w:val="003F7658"/>
    <w:rsid w:val="004040C9"/>
    <w:rsid w:val="004059C9"/>
    <w:rsid w:val="00416558"/>
    <w:rsid w:val="0042366C"/>
    <w:rsid w:val="00426B30"/>
    <w:rsid w:val="0042790D"/>
    <w:rsid w:val="00433246"/>
    <w:rsid w:val="00440D28"/>
    <w:rsid w:val="004479D7"/>
    <w:rsid w:val="00457B8B"/>
    <w:rsid w:val="0046038D"/>
    <w:rsid w:val="004653F9"/>
    <w:rsid w:val="004730EF"/>
    <w:rsid w:val="004751E1"/>
    <w:rsid w:val="004807FD"/>
    <w:rsid w:val="00493FF9"/>
    <w:rsid w:val="00496EF1"/>
    <w:rsid w:val="00497085"/>
    <w:rsid w:val="004A5AF4"/>
    <w:rsid w:val="004B0A42"/>
    <w:rsid w:val="004B60B7"/>
    <w:rsid w:val="004D04C0"/>
    <w:rsid w:val="004D0D07"/>
    <w:rsid w:val="004D52D4"/>
    <w:rsid w:val="004E08CA"/>
    <w:rsid w:val="004F2BDB"/>
    <w:rsid w:val="004F414A"/>
    <w:rsid w:val="004F51B9"/>
    <w:rsid w:val="004F6066"/>
    <w:rsid w:val="004F67BF"/>
    <w:rsid w:val="004F7E0E"/>
    <w:rsid w:val="00500957"/>
    <w:rsid w:val="0050122C"/>
    <w:rsid w:val="005017B4"/>
    <w:rsid w:val="00503344"/>
    <w:rsid w:val="00521683"/>
    <w:rsid w:val="00522F56"/>
    <w:rsid w:val="00535737"/>
    <w:rsid w:val="00536FBD"/>
    <w:rsid w:val="00537898"/>
    <w:rsid w:val="005405A5"/>
    <w:rsid w:val="00540734"/>
    <w:rsid w:val="005422AA"/>
    <w:rsid w:val="00546B4C"/>
    <w:rsid w:val="00551660"/>
    <w:rsid w:val="00555BB7"/>
    <w:rsid w:val="00580429"/>
    <w:rsid w:val="00583FCD"/>
    <w:rsid w:val="00584692"/>
    <w:rsid w:val="00584F9B"/>
    <w:rsid w:val="00587BFB"/>
    <w:rsid w:val="00587F20"/>
    <w:rsid w:val="00596479"/>
    <w:rsid w:val="005A0ECC"/>
    <w:rsid w:val="005A3740"/>
    <w:rsid w:val="005B225A"/>
    <w:rsid w:val="005B393E"/>
    <w:rsid w:val="005D1854"/>
    <w:rsid w:val="005D201C"/>
    <w:rsid w:val="005D58D5"/>
    <w:rsid w:val="005E07C0"/>
    <w:rsid w:val="005E29CA"/>
    <w:rsid w:val="005E7836"/>
    <w:rsid w:val="005F395C"/>
    <w:rsid w:val="00605D04"/>
    <w:rsid w:val="00606FB1"/>
    <w:rsid w:val="00613B41"/>
    <w:rsid w:val="00621FBC"/>
    <w:rsid w:val="006331C9"/>
    <w:rsid w:val="00642361"/>
    <w:rsid w:val="00645F83"/>
    <w:rsid w:val="0065038F"/>
    <w:rsid w:val="006508E5"/>
    <w:rsid w:val="00667E49"/>
    <w:rsid w:val="00670DA3"/>
    <w:rsid w:val="0068174B"/>
    <w:rsid w:val="00693D2C"/>
    <w:rsid w:val="006A6C70"/>
    <w:rsid w:val="006B6F59"/>
    <w:rsid w:val="006C0A7D"/>
    <w:rsid w:val="006D06D3"/>
    <w:rsid w:val="006D079B"/>
    <w:rsid w:val="006D3822"/>
    <w:rsid w:val="006F4244"/>
    <w:rsid w:val="00705998"/>
    <w:rsid w:val="007105B7"/>
    <w:rsid w:val="00711258"/>
    <w:rsid w:val="00711EBB"/>
    <w:rsid w:val="0071340D"/>
    <w:rsid w:val="007157EB"/>
    <w:rsid w:val="00723318"/>
    <w:rsid w:val="00725F4E"/>
    <w:rsid w:val="00734AA4"/>
    <w:rsid w:val="00740FF3"/>
    <w:rsid w:val="007702DE"/>
    <w:rsid w:val="00772B1F"/>
    <w:rsid w:val="0078100B"/>
    <w:rsid w:val="00786498"/>
    <w:rsid w:val="00786C7E"/>
    <w:rsid w:val="007A5C8D"/>
    <w:rsid w:val="007C475D"/>
    <w:rsid w:val="007C667D"/>
    <w:rsid w:val="007C69F0"/>
    <w:rsid w:val="007F4F35"/>
    <w:rsid w:val="007F50C6"/>
    <w:rsid w:val="007F7022"/>
    <w:rsid w:val="00813DC3"/>
    <w:rsid w:val="00830623"/>
    <w:rsid w:val="00836FAD"/>
    <w:rsid w:val="008401E1"/>
    <w:rsid w:val="0084415D"/>
    <w:rsid w:val="00846964"/>
    <w:rsid w:val="008478C5"/>
    <w:rsid w:val="00851D18"/>
    <w:rsid w:val="008520CE"/>
    <w:rsid w:val="00861D45"/>
    <w:rsid w:val="0087097D"/>
    <w:rsid w:val="00871867"/>
    <w:rsid w:val="0087679C"/>
    <w:rsid w:val="00880AFC"/>
    <w:rsid w:val="00885086"/>
    <w:rsid w:val="00885759"/>
    <w:rsid w:val="00887A42"/>
    <w:rsid w:val="008905B7"/>
    <w:rsid w:val="00891860"/>
    <w:rsid w:val="00897189"/>
    <w:rsid w:val="008A01E9"/>
    <w:rsid w:val="008A7767"/>
    <w:rsid w:val="008A7E6C"/>
    <w:rsid w:val="008B4FF0"/>
    <w:rsid w:val="008C1AD0"/>
    <w:rsid w:val="008C2F85"/>
    <w:rsid w:val="008C5C96"/>
    <w:rsid w:val="008C7454"/>
    <w:rsid w:val="008D53A0"/>
    <w:rsid w:val="008E6240"/>
    <w:rsid w:val="008F6272"/>
    <w:rsid w:val="0090013F"/>
    <w:rsid w:val="00910453"/>
    <w:rsid w:val="00913538"/>
    <w:rsid w:val="009279B1"/>
    <w:rsid w:val="00932551"/>
    <w:rsid w:val="0093623E"/>
    <w:rsid w:val="00952ED3"/>
    <w:rsid w:val="00954111"/>
    <w:rsid w:val="00960BA1"/>
    <w:rsid w:val="00966331"/>
    <w:rsid w:val="00974309"/>
    <w:rsid w:val="00982C6A"/>
    <w:rsid w:val="009839AB"/>
    <w:rsid w:val="0099154A"/>
    <w:rsid w:val="00995F31"/>
    <w:rsid w:val="009A2AB7"/>
    <w:rsid w:val="009B6226"/>
    <w:rsid w:val="009C41E1"/>
    <w:rsid w:val="009D312E"/>
    <w:rsid w:val="009D42E2"/>
    <w:rsid w:val="00A00597"/>
    <w:rsid w:val="00A04DAC"/>
    <w:rsid w:val="00A07B0E"/>
    <w:rsid w:val="00A12ED1"/>
    <w:rsid w:val="00A170B0"/>
    <w:rsid w:val="00A201C7"/>
    <w:rsid w:val="00A32C72"/>
    <w:rsid w:val="00A416D8"/>
    <w:rsid w:val="00A45E05"/>
    <w:rsid w:val="00A510DD"/>
    <w:rsid w:val="00A62452"/>
    <w:rsid w:val="00A66E30"/>
    <w:rsid w:val="00A82B55"/>
    <w:rsid w:val="00A831C0"/>
    <w:rsid w:val="00A91446"/>
    <w:rsid w:val="00A932AE"/>
    <w:rsid w:val="00AA6DBF"/>
    <w:rsid w:val="00AB57E9"/>
    <w:rsid w:val="00AC2FE3"/>
    <w:rsid w:val="00AD1B5A"/>
    <w:rsid w:val="00AD249B"/>
    <w:rsid w:val="00AD373E"/>
    <w:rsid w:val="00AD6151"/>
    <w:rsid w:val="00AE2CD8"/>
    <w:rsid w:val="00AE44F5"/>
    <w:rsid w:val="00AE55D5"/>
    <w:rsid w:val="00AE67C5"/>
    <w:rsid w:val="00AF6627"/>
    <w:rsid w:val="00B00E71"/>
    <w:rsid w:val="00B03879"/>
    <w:rsid w:val="00B168D0"/>
    <w:rsid w:val="00B16E25"/>
    <w:rsid w:val="00B17D7C"/>
    <w:rsid w:val="00B213E6"/>
    <w:rsid w:val="00B35B16"/>
    <w:rsid w:val="00B50C09"/>
    <w:rsid w:val="00B51F8B"/>
    <w:rsid w:val="00B53695"/>
    <w:rsid w:val="00B63EA0"/>
    <w:rsid w:val="00B654C1"/>
    <w:rsid w:val="00B82770"/>
    <w:rsid w:val="00B855FB"/>
    <w:rsid w:val="00B92078"/>
    <w:rsid w:val="00BA258D"/>
    <w:rsid w:val="00BA5966"/>
    <w:rsid w:val="00BA6C4D"/>
    <w:rsid w:val="00BC61E1"/>
    <w:rsid w:val="00BF249C"/>
    <w:rsid w:val="00BF68F0"/>
    <w:rsid w:val="00C130A7"/>
    <w:rsid w:val="00C141C0"/>
    <w:rsid w:val="00C14317"/>
    <w:rsid w:val="00C15186"/>
    <w:rsid w:val="00C160EC"/>
    <w:rsid w:val="00C25E1E"/>
    <w:rsid w:val="00C26F4F"/>
    <w:rsid w:val="00C3786A"/>
    <w:rsid w:val="00C60F4A"/>
    <w:rsid w:val="00C7711A"/>
    <w:rsid w:val="00C912C3"/>
    <w:rsid w:val="00C9605E"/>
    <w:rsid w:val="00CA6C99"/>
    <w:rsid w:val="00CA7657"/>
    <w:rsid w:val="00CB09EB"/>
    <w:rsid w:val="00CB2867"/>
    <w:rsid w:val="00CB7225"/>
    <w:rsid w:val="00CC2493"/>
    <w:rsid w:val="00CC25AC"/>
    <w:rsid w:val="00CE18FC"/>
    <w:rsid w:val="00CE7187"/>
    <w:rsid w:val="00CF4B7A"/>
    <w:rsid w:val="00D00561"/>
    <w:rsid w:val="00D064B4"/>
    <w:rsid w:val="00D177E4"/>
    <w:rsid w:val="00D2323B"/>
    <w:rsid w:val="00D35B79"/>
    <w:rsid w:val="00D52050"/>
    <w:rsid w:val="00D52889"/>
    <w:rsid w:val="00D53660"/>
    <w:rsid w:val="00D62F12"/>
    <w:rsid w:val="00D63BD0"/>
    <w:rsid w:val="00D64B8F"/>
    <w:rsid w:val="00D90228"/>
    <w:rsid w:val="00D917ED"/>
    <w:rsid w:val="00DA0CBD"/>
    <w:rsid w:val="00DA7334"/>
    <w:rsid w:val="00DB2B72"/>
    <w:rsid w:val="00DB69E9"/>
    <w:rsid w:val="00DC5418"/>
    <w:rsid w:val="00DF19DC"/>
    <w:rsid w:val="00DF2DF1"/>
    <w:rsid w:val="00E11235"/>
    <w:rsid w:val="00E32EB3"/>
    <w:rsid w:val="00E655FA"/>
    <w:rsid w:val="00E671EC"/>
    <w:rsid w:val="00E729E9"/>
    <w:rsid w:val="00E73550"/>
    <w:rsid w:val="00E77C66"/>
    <w:rsid w:val="00E92F31"/>
    <w:rsid w:val="00E94962"/>
    <w:rsid w:val="00E95293"/>
    <w:rsid w:val="00EA2878"/>
    <w:rsid w:val="00EB2880"/>
    <w:rsid w:val="00EB3604"/>
    <w:rsid w:val="00EB3655"/>
    <w:rsid w:val="00EB46FA"/>
    <w:rsid w:val="00EB4990"/>
    <w:rsid w:val="00EB7BC3"/>
    <w:rsid w:val="00EC0C47"/>
    <w:rsid w:val="00EC1B5C"/>
    <w:rsid w:val="00EC24FB"/>
    <w:rsid w:val="00EC58A2"/>
    <w:rsid w:val="00ED481E"/>
    <w:rsid w:val="00ED4C6C"/>
    <w:rsid w:val="00ED74AC"/>
    <w:rsid w:val="00EE5872"/>
    <w:rsid w:val="00EF0337"/>
    <w:rsid w:val="00EF5C70"/>
    <w:rsid w:val="00F07F09"/>
    <w:rsid w:val="00F1530B"/>
    <w:rsid w:val="00F22C77"/>
    <w:rsid w:val="00F26233"/>
    <w:rsid w:val="00F307BE"/>
    <w:rsid w:val="00F30DBB"/>
    <w:rsid w:val="00F30DC0"/>
    <w:rsid w:val="00F31C3E"/>
    <w:rsid w:val="00F31EB6"/>
    <w:rsid w:val="00F41AD4"/>
    <w:rsid w:val="00F41ED4"/>
    <w:rsid w:val="00F53EBF"/>
    <w:rsid w:val="00F66E4A"/>
    <w:rsid w:val="00F7033E"/>
    <w:rsid w:val="00F74FD0"/>
    <w:rsid w:val="00F774A6"/>
    <w:rsid w:val="00F823DE"/>
    <w:rsid w:val="00FA335B"/>
    <w:rsid w:val="00FB562C"/>
    <w:rsid w:val="00FB7606"/>
    <w:rsid w:val="00FB7961"/>
    <w:rsid w:val="00FC0ABF"/>
    <w:rsid w:val="00FC7C47"/>
    <w:rsid w:val="00FD1A9B"/>
    <w:rsid w:val="00FD5DA2"/>
    <w:rsid w:val="00FD6592"/>
    <w:rsid w:val="00FD67F0"/>
    <w:rsid w:val="00FE02DB"/>
    <w:rsid w:val="00FE33A8"/>
    <w:rsid w:val="00FF205F"/>
    <w:rsid w:val="00FF61E4"/>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5C065030"/>
  <w15:chartTrackingRefBased/>
  <w15:docId w15:val="{F7D76D5D-923F-4F51-A0D4-CB85F5A64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i-F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30EF"/>
    <w:pPr>
      <w:spacing w:after="320" w:line="480" w:lineRule="auto"/>
    </w:pPr>
    <w:rPr>
      <w:lang w:val="en-GB"/>
    </w:rPr>
  </w:style>
  <w:style w:type="paragraph" w:styleId="Heading1">
    <w:name w:val="heading 1"/>
    <w:basedOn w:val="Normal"/>
    <w:next w:val="Normal"/>
    <w:link w:val="Heading1Char"/>
    <w:uiPriority w:val="9"/>
    <w:qFormat/>
    <w:rsid w:val="00332889"/>
    <w:pPr>
      <w:keepNext/>
      <w:keepLines/>
      <w:spacing w:before="240"/>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457B8B"/>
    <w:pPr>
      <w:keepNext/>
      <w:keepLines/>
      <w:spacing w:before="40" w:after="0"/>
      <w:outlineLvl w:val="1"/>
    </w:pPr>
    <w:rPr>
      <w:rFonts w:eastAsiaTheme="majorEastAsia" w:cstheme="majorBidi"/>
      <w:b/>
      <w:szCs w:val="26"/>
    </w:rPr>
  </w:style>
  <w:style w:type="paragraph" w:styleId="Heading3">
    <w:name w:val="heading 3"/>
    <w:basedOn w:val="Normal"/>
    <w:next w:val="Normal"/>
    <w:link w:val="Heading3Char"/>
    <w:uiPriority w:val="9"/>
    <w:unhideWhenUsed/>
    <w:qFormat/>
    <w:rsid w:val="0042790D"/>
    <w:pPr>
      <w:keepNext/>
      <w:keepLines/>
      <w:spacing w:before="40" w:after="0"/>
      <w:outlineLvl w:val="2"/>
    </w:pPr>
    <w:rPr>
      <w:rFonts w:asciiTheme="majorHAnsi" w:eastAsiaTheme="majorEastAsia" w:hAnsiTheme="majorHAnsi" w:cstheme="majorBidi"/>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7C475D"/>
    <w:pPr>
      <w:spacing w:after="0"/>
      <w:contextualSpacing/>
    </w:pPr>
    <w:rPr>
      <w:rFonts w:eastAsiaTheme="majorEastAsia" w:cstheme="majorBidi"/>
      <w:b/>
      <w:spacing w:val="-10"/>
      <w:kern w:val="28"/>
      <w:szCs w:val="56"/>
    </w:rPr>
  </w:style>
  <w:style w:type="character" w:customStyle="1" w:styleId="TitleChar">
    <w:name w:val="Title Char"/>
    <w:basedOn w:val="DefaultParagraphFont"/>
    <w:link w:val="Title"/>
    <w:uiPriority w:val="10"/>
    <w:rsid w:val="007C475D"/>
    <w:rPr>
      <w:rFonts w:eastAsiaTheme="majorEastAsia" w:cstheme="majorBidi"/>
      <w:b/>
      <w:spacing w:val="-10"/>
      <w:kern w:val="28"/>
      <w:szCs w:val="56"/>
      <w:lang w:val="en-GB"/>
    </w:rPr>
  </w:style>
  <w:style w:type="character" w:customStyle="1" w:styleId="Heading1Char">
    <w:name w:val="Heading 1 Char"/>
    <w:basedOn w:val="DefaultParagraphFont"/>
    <w:link w:val="Heading1"/>
    <w:uiPriority w:val="9"/>
    <w:rsid w:val="00332889"/>
    <w:rPr>
      <w:rFonts w:eastAsiaTheme="majorEastAsia" w:cstheme="majorBidi"/>
      <w:b/>
      <w:szCs w:val="32"/>
      <w:lang w:val="en-GB"/>
    </w:rPr>
  </w:style>
  <w:style w:type="paragraph" w:styleId="NormalWeb">
    <w:name w:val="Normal (Web)"/>
    <w:basedOn w:val="Normal"/>
    <w:uiPriority w:val="99"/>
    <w:semiHidden/>
    <w:unhideWhenUsed/>
    <w:rsid w:val="00723318"/>
    <w:pPr>
      <w:spacing w:before="100" w:beforeAutospacing="1" w:after="100" w:afterAutospacing="1" w:line="240" w:lineRule="auto"/>
    </w:pPr>
    <w:rPr>
      <w:rFonts w:ascii="Times New Roman" w:eastAsiaTheme="minorEastAsia" w:hAnsi="Times New Roman" w:cs="Times New Roman"/>
      <w:sz w:val="24"/>
      <w:szCs w:val="24"/>
      <w:lang w:val="fi-FI" w:eastAsia="fi-FI"/>
    </w:rPr>
  </w:style>
  <w:style w:type="character" w:customStyle="1" w:styleId="Heading2Char">
    <w:name w:val="Heading 2 Char"/>
    <w:basedOn w:val="DefaultParagraphFont"/>
    <w:link w:val="Heading2"/>
    <w:uiPriority w:val="9"/>
    <w:rsid w:val="00457B8B"/>
    <w:rPr>
      <w:rFonts w:eastAsiaTheme="majorEastAsia" w:cstheme="majorBidi"/>
      <w:b/>
      <w:szCs w:val="26"/>
      <w:lang w:val="en-GB"/>
    </w:rPr>
  </w:style>
  <w:style w:type="paragraph" w:styleId="BalloonText">
    <w:name w:val="Balloon Text"/>
    <w:basedOn w:val="Normal"/>
    <w:link w:val="BalloonTextChar"/>
    <w:uiPriority w:val="99"/>
    <w:semiHidden/>
    <w:unhideWhenUsed/>
    <w:rsid w:val="00966331"/>
    <w:pPr>
      <w:spacing w:after="0" w:line="240" w:lineRule="auto"/>
    </w:pPr>
    <w:rPr>
      <w:rFonts w:ascii="Calibri" w:hAnsi="Calibri" w:cs="Calibri"/>
      <w:sz w:val="18"/>
      <w:szCs w:val="18"/>
    </w:rPr>
  </w:style>
  <w:style w:type="character" w:customStyle="1" w:styleId="BalloonTextChar">
    <w:name w:val="Balloon Text Char"/>
    <w:basedOn w:val="DefaultParagraphFont"/>
    <w:link w:val="BalloonText"/>
    <w:uiPriority w:val="99"/>
    <w:semiHidden/>
    <w:rsid w:val="00966331"/>
    <w:rPr>
      <w:rFonts w:ascii="Calibri" w:hAnsi="Calibri" w:cs="Calibri"/>
      <w:sz w:val="18"/>
      <w:szCs w:val="18"/>
      <w:lang w:val="en-GB"/>
    </w:rPr>
  </w:style>
  <w:style w:type="paragraph" w:styleId="NoSpacing">
    <w:name w:val="No Spacing"/>
    <w:uiPriority w:val="1"/>
    <w:qFormat/>
    <w:rsid w:val="00D177E4"/>
    <w:pPr>
      <w:spacing w:after="0" w:line="240" w:lineRule="auto"/>
    </w:pPr>
    <w:rPr>
      <w:lang w:val="en-GB"/>
    </w:rPr>
  </w:style>
  <w:style w:type="paragraph" w:styleId="ListParagraph">
    <w:name w:val="List Paragraph"/>
    <w:basedOn w:val="Normal"/>
    <w:uiPriority w:val="34"/>
    <w:qFormat/>
    <w:rsid w:val="00FE33A8"/>
    <w:pPr>
      <w:spacing w:line="259" w:lineRule="auto"/>
      <w:ind w:left="720"/>
      <w:contextualSpacing/>
    </w:pPr>
  </w:style>
  <w:style w:type="paragraph" w:styleId="Caption">
    <w:name w:val="caption"/>
    <w:basedOn w:val="Normal"/>
    <w:next w:val="Normal"/>
    <w:uiPriority w:val="35"/>
    <w:unhideWhenUsed/>
    <w:qFormat/>
    <w:rsid w:val="003B2327"/>
    <w:pPr>
      <w:spacing w:after="200"/>
    </w:pPr>
    <w:rPr>
      <w:i/>
      <w:iCs/>
      <w:szCs w:val="18"/>
    </w:rPr>
  </w:style>
  <w:style w:type="character" w:customStyle="1" w:styleId="Heading3Char">
    <w:name w:val="Heading 3 Char"/>
    <w:basedOn w:val="DefaultParagraphFont"/>
    <w:link w:val="Heading3"/>
    <w:uiPriority w:val="9"/>
    <w:rsid w:val="0042790D"/>
    <w:rPr>
      <w:rFonts w:asciiTheme="majorHAnsi" w:eastAsiaTheme="majorEastAsia" w:hAnsiTheme="majorHAnsi" w:cstheme="majorBidi"/>
      <w:i/>
      <w:sz w:val="24"/>
      <w:szCs w:val="24"/>
      <w:lang w:val="en-GB"/>
    </w:rPr>
  </w:style>
  <w:style w:type="character" w:styleId="LineNumber">
    <w:name w:val="line number"/>
    <w:basedOn w:val="DefaultParagraphFont"/>
    <w:uiPriority w:val="99"/>
    <w:semiHidden/>
    <w:unhideWhenUsed/>
    <w:rsid w:val="007C475D"/>
  </w:style>
  <w:style w:type="paragraph" w:customStyle="1" w:styleId="Omalista">
    <w:name w:val="Oma lista"/>
    <w:basedOn w:val="ListParagraph"/>
    <w:qFormat/>
    <w:rsid w:val="007C475D"/>
    <w:pPr>
      <w:numPr>
        <w:numId w:val="3"/>
      </w:numPr>
      <w:spacing w:after="200" w:line="480" w:lineRule="auto"/>
    </w:pPr>
    <w:rPr>
      <w:rFonts w:cs="Times New Roman"/>
      <w:sz w:val="24"/>
      <w:szCs w:val="24"/>
      <w:lang w:val="en-US"/>
    </w:rPr>
  </w:style>
  <w:style w:type="paragraph" w:styleId="Header">
    <w:name w:val="header"/>
    <w:basedOn w:val="Normal"/>
    <w:link w:val="HeaderChar"/>
    <w:uiPriority w:val="99"/>
    <w:unhideWhenUsed/>
    <w:rsid w:val="007C475D"/>
    <w:pPr>
      <w:tabs>
        <w:tab w:val="center" w:pos="4819"/>
        <w:tab w:val="right" w:pos="9638"/>
      </w:tabs>
      <w:spacing w:after="0" w:line="240" w:lineRule="auto"/>
    </w:pPr>
    <w:rPr>
      <w:rFonts w:cs="Times New Roman"/>
      <w:sz w:val="24"/>
      <w:szCs w:val="24"/>
      <w:lang w:val="fi-FI"/>
    </w:rPr>
  </w:style>
  <w:style w:type="character" w:customStyle="1" w:styleId="HeaderChar">
    <w:name w:val="Header Char"/>
    <w:basedOn w:val="DefaultParagraphFont"/>
    <w:link w:val="Header"/>
    <w:uiPriority w:val="99"/>
    <w:rsid w:val="007C475D"/>
    <w:rPr>
      <w:rFonts w:cs="Times New Roman"/>
      <w:sz w:val="24"/>
      <w:szCs w:val="24"/>
    </w:rPr>
  </w:style>
  <w:style w:type="character" w:styleId="Hyperlink">
    <w:name w:val="Hyperlink"/>
    <w:basedOn w:val="DefaultParagraphFont"/>
    <w:uiPriority w:val="99"/>
    <w:unhideWhenUsed/>
    <w:rsid w:val="005A3740"/>
    <w:rPr>
      <w:color w:val="0563C1" w:themeColor="hyperlink"/>
      <w:u w:val="single"/>
    </w:rPr>
  </w:style>
  <w:style w:type="character" w:styleId="UnresolvedMention">
    <w:name w:val="Unresolved Mention"/>
    <w:basedOn w:val="DefaultParagraphFont"/>
    <w:uiPriority w:val="99"/>
    <w:semiHidden/>
    <w:unhideWhenUsed/>
    <w:rsid w:val="005A37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8762">
      <w:bodyDiv w:val="1"/>
      <w:marLeft w:val="0"/>
      <w:marRight w:val="0"/>
      <w:marTop w:val="0"/>
      <w:marBottom w:val="0"/>
      <w:divBdr>
        <w:top w:val="none" w:sz="0" w:space="0" w:color="auto"/>
        <w:left w:val="none" w:sz="0" w:space="0" w:color="auto"/>
        <w:bottom w:val="none" w:sz="0" w:space="0" w:color="auto"/>
        <w:right w:val="none" w:sz="0" w:space="0" w:color="auto"/>
      </w:divBdr>
    </w:div>
    <w:div w:id="19013565">
      <w:bodyDiv w:val="1"/>
      <w:marLeft w:val="0"/>
      <w:marRight w:val="0"/>
      <w:marTop w:val="0"/>
      <w:marBottom w:val="0"/>
      <w:divBdr>
        <w:top w:val="none" w:sz="0" w:space="0" w:color="auto"/>
        <w:left w:val="none" w:sz="0" w:space="0" w:color="auto"/>
        <w:bottom w:val="none" w:sz="0" w:space="0" w:color="auto"/>
        <w:right w:val="none" w:sz="0" w:space="0" w:color="auto"/>
      </w:divBdr>
    </w:div>
    <w:div w:id="23101269">
      <w:bodyDiv w:val="1"/>
      <w:marLeft w:val="0"/>
      <w:marRight w:val="0"/>
      <w:marTop w:val="0"/>
      <w:marBottom w:val="0"/>
      <w:divBdr>
        <w:top w:val="none" w:sz="0" w:space="0" w:color="auto"/>
        <w:left w:val="none" w:sz="0" w:space="0" w:color="auto"/>
        <w:bottom w:val="none" w:sz="0" w:space="0" w:color="auto"/>
        <w:right w:val="none" w:sz="0" w:space="0" w:color="auto"/>
      </w:divBdr>
    </w:div>
    <w:div w:id="26956094">
      <w:bodyDiv w:val="1"/>
      <w:marLeft w:val="0"/>
      <w:marRight w:val="0"/>
      <w:marTop w:val="0"/>
      <w:marBottom w:val="0"/>
      <w:divBdr>
        <w:top w:val="none" w:sz="0" w:space="0" w:color="auto"/>
        <w:left w:val="none" w:sz="0" w:space="0" w:color="auto"/>
        <w:bottom w:val="none" w:sz="0" w:space="0" w:color="auto"/>
        <w:right w:val="none" w:sz="0" w:space="0" w:color="auto"/>
      </w:divBdr>
    </w:div>
    <w:div w:id="28260571">
      <w:bodyDiv w:val="1"/>
      <w:marLeft w:val="0"/>
      <w:marRight w:val="0"/>
      <w:marTop w:val="0"/>
      <w:marBottom w:val="0"/>
      <w:divBdr>
        <w:top w:val="none" w:sz="0" w:space="0" w:color="auto"/>
        <w:left w:val="none" w:sz="0" w:space="0" w:color="auto"/>
        <w:bottom w:val="none" w:sz="0" w:space="0" w:color="auto"/>
        <w:right w:val="none" w:sz="0" w:space="0" w:color="auto"/>
      </w:divBdr>
    </w:div>
    <w:div w:id="41565045">
      <w:bodyDiv w:val="1"/>
      <w:marLeft w:val="0"/>
      <w:marRight w:val="0"/>
      <w:marTop w:val="0"/>
      <w:marBottom w:val="0"/>
      <w:divBdr>
        <w:top w:val="none" w:sz="0" w:space="0" w:color="auto"/>
        <w:left w:val="none" w:sz="0" w:space="0" w:color="auto"/>
        <w:bottom w:val="none" w:sz="0" w:space="0" w:color="auto"/>
        <w:right w:val="none" w:sz="0" w:space="0" w:color="auto"/>
      </w:divBdr>
    </w:div>
    <w:div w:id="49161330">
      <w:bodyDiv w:val="1"/>
      <w:marLeft w:val="0"/>
      <w:marRight w:val="0"/>
      <w:marTop w:val="0"/>
      <w:marBottom w:val="0"/>
      <w:divBdr>
        <w:top w:val="none" w:sz="0" w:space="0" w:color="auto"/>
        <w:left w:val="none" w:sz="0" w:space="0" w:color="auto"/>
        <w:bottom w:val="none" w:sz="0" w:space="0" w:color="auto"/>
        <w:right w:val="none" w:sz="0" w:space="0" w:color="auto"/>
      </w:divBdr>
    </w:div>
    <w:div w:id="51271253">
      <w:bodyDiv w:val="1"/>
      <w:marLeft w:val="0"/>
      <w:marRight w:val="0"/>
      <w:marTop w:val="0"/>
      <w:marBottom w:val="0"/>
      <w:divBdr>
        <w:top w:val="none" w:sz="0" w:space="0" w:color="auto"/>
        <w:left w:val="none" w:sz="0" w:space="0" w:color="auto"/>
        <w:bottom w:val="none" w:sz="0" w:space="0" w:color="auto"/>
        <w:right w:val="none" w:sz="0" w:space="0" w:color="auto"/>
      </w:divBdr>
    </w:div>
    <w:div w:id="103959588">
      <w:bodyDiv w:val="1"/>
      <w:marLeft w:val="0"/>
      <w:marRight w:val="0"/>
      <w:marTop w:val="0"/>
      <w:marBottom w:val="0"/>
      <w:divBdr>
        <w:top w:val="none" w:sz="0" w:space="0" w:color="auto"/>
        <w:left w:val="none" w:sz="0" w:space="0" w:color="auto"/>
        <w:bottom w:val="none" w:sz="0" w:space="0" w:color="auto"/>
        <w:right w:val="none" w:sz="0" w:space="0" w:color="auto"/>
      </w:divBdr>
    </w:div>
    <w:div w:id="108815430">
      <w:bodyDiv w:val="1"/>
      <w:marLeft w:val="0"/>
      <w:marRight w:val="0"/>
      <w:marTop w:val="0"/>
      <w:marBottom w:val="0"/>
      <w:divBdr>
        <w:top w:val="none" w:sz="0" w:space="0" w:color="auto"/>
        <w:left w:val="none" w:sz="0" w:space="0" w:color="auto"/>
        <w:bottom w:val="none" w:sz="0" w:space="0" w:color="auto"/>
        <w:right w:val="none" w:sz="0" w:space="0" w:color="auto"/>
      </w:divBdr>
    </w:div>
    <w:div w:id="131561085">
      <w:bodyDiv w:val="1"/>
      <w:marLeft w:val="0"/>
      <w:marRight w:val="0"/>
      <w:marTop w:val="0"/>
      <w:marBottom w:val="0"/>
      <w:divBdr>
        <w:top w:val="none" w:sz="0" w:space="0" w:color="auto"/>
        <w:left w:val="none" w:sz="0" w:space="0" w:color="auto"/>
        <w:bottom w:val="none" w:sz="0" w:space="0" w:color="auto"/>
        <w:right w:val="none" w:sz="0" w:space="0" w:color="auto"/>
      </w:divBdr>
    </w:div>
    <w:div w:id="135953917">
      <w:bodyDiv w:val="1"/>
      <w:marLeft w:val="0"/>
      <w:marRight w:val="0"/>
      <w:marTop w:val="0"/>
      <w:marBottom w:val="0"/>
      <w:divBdr>
        <w:top w:val="none" w:sz="0" w:space="0" w:color="auto"/>
        <w:left w:val="none" w:sz="0" w:space="0" w:color="auto"/>
        <w:bottom w:val="none" w:sz="0" w:space="0" w:color="auto"/>
        <w:right w:val="none" w:sz="0" w:space="0" w:color="auto"/>
      </w:divBdr>
    </w:div>
    <w:div w:id="151723761">
      <w:bodyDiv w:val="1"/>
      <w:marLeft w:val="0"/>
      <w:marRight w:val="0"/>
      <w:marTop w:val="0"/>
      <w:marBottom w:val="0"/>
      <w:divBdr>
        <w:top w:val="none" w:sz="0" w:space="0" w:color="auto"/>
        <w:left w:val="none" w:sz="0" w:space="0" w:color="auto"/>
        <w:bottom w:val="none" w:sz="0" w:space="0" w:color="auto"/>
        <w:right w:val="none" w:sz="0" w:space="0" w:color="auto"/>
      </w:divBdr>
    </w:div>
    <w:div w:id="189533636">
      <w:bodyDiv w:val="1"/>
      <w:marLeft w:val="0"/>
      <w:marRight w:val="0"/>
      <w:marTop w:val="0"/>
      <w:marBottom w:val="0"/>
      <w:divBdr>
        <w:top w:val="none" w:sz="0" w:space="0" w:color="auto"/>
        <w:left w:val="none" w:sz="0" w:space="0" w:color="auto"/>
        <w:bottom w:val="none" w:sz="0" w:space="0" w:color="auto"/>
        <w:right w:val="none" w:sz="0" w:space="0" w:color="auto"/>
      </w:divBdr>
    </w:div>
    <w:div w:id="209341190">
      <w:bodyDiv w:val="1"/>
      <w:marLeft w:val="0"/>
      <w:marRight w:val="0"/>
      <w:marTop w:val="0"/>
      <w:marBottom w:val="0"/>
      <w:divBdr>
        <w:top w:val="none" w:sz="0" w:space="0" w:color="auto"/>
        <w:left w:val="none" w:sz="0" w:space="0" w:color="auto"/>
        <w:bottom w:val="none" w:sz="0" w:space="0" w:color="auto"/>
        <w:right w:val="none" w:sz="0" w:space="0" w:color="auto"/>
      </w:divBdr>
    </w:div>
    <w:div w:id="215826128">
      <w:bodyDiv w:val="1"/>
      <w:marLeft w:val="0"/>
      <w:marRight w:val="0"/>
      <w:marTop w:val="0"/>
      <w:marBottom w:val="0"/>
      <w:divBdr>
        <w:top w:val="none" w:sz="0" w:space="0" w:color="auto"/>
        <w:left w:val="none" w:sz="0" w:space="0" w:color="auto"/>
        <w:bottom w:val="none" w:sz="0" w:space="0" w:color="auto"/>
        <w:right w:val="none" w:sz="0" w:space="0" w:color="auto"/>
      </w:divBdr>
    </w:div>
    <w:div w:id="252667133">
      <w:bodyDiv w:val="1"/>
      <w:marLeft w:val="0"/>
      <w:marRight w:val="0"/>
      <w:marTop w:val="0"/>
      <w:marBottom w:val="0"/>
      <w:divBdr>
        <w:top w:val="none" w:sz="0" w:space="0" w:color="auto"/>
        <w:left w:val="none" w:sz="0" w:space="0" w:color="auto"/>
        <w:bottom w:val="none" w:sz="0" w:space="0" w:color="auto"/>
        <w:right w:val="none" w:sz="0" w:space="0" w:color="auto"/>
      </w:divBdr>
    </w:div>
    <w:div w:id="254871293">
      <w:bodyDiv w:val="1"/>
      <w:marLeft w:val="0"/>
      <w:marRight w:val="0"/>
      <w:marTop w:val="0"/>
      <w:marBottom w:val="0"/>
      <w:divBdr>
        <w:top w:val="none" w:sz="0" w:space="0" w:color="auto"/>
        <w:left w:val="none" w:sz="0" w:space="0" w:color="auto"/>
        <w:bottom w:val="none" w:sz="0" w:space="0" w:color="auto"/>
        <w:right w:val="none" w:sz="0" w:space="0" w:color="auto"/>
      </w:divBdr>
    </w:div>
    <w:div w:id="284045215">
      <w:bodyDiv w:val="1"/>
      <w:marLeft w:val="0"/>
      <w:marRight w:val="0"/>
      <w:marTop w:val="0"/>
      <w:marBottom w:val="0"/>
      <w:divBdr>
        <w:top w:val="none" w:sz="0" w:space="0" w:color="auto"/>
        <w:left w:val="none" w:sz="0" w:space="0" w:color="auto"/>
        <w:bottom w:val="none" w:sz="0" w:space="0" w:color="auto"/>
        <w:right w:val="none" w:sz="0" w:space="0" w:color="auto"/>
      </w:divBdr>
    </w:div>
    <w:div w:id="295530711">
      <w:bodyDiv w:val="1"/>
      <w:marLeft w:val="0"/>
      <w:marRight w:val="0"/>
      <w:marTop w:val="0"/>
      <w:marBottom w:val="0"/>
      <w:divBdr>
        <w:top w:val="none" w:sz="0" w:space="0" w:color="auto"/>
        <w:left w:val="none" w:sz="0" w:space="0" w:color="auto"/>
        <w:bottom w:val="none" w:sz="0" w:space="0" w:color="auto"/>
        <w:right w:val="none" w:sz="0" w:space="0" w:color="auto"/>
      </w:divBdr>
    </w:div>
    <w:div w:id="308486020">
      <w:bodyDiv w:val="1"/>
      <w:marLeft w:val="0"/>
      <w:marRight w:val="0"/>
      <w:marTop w:val="0"/>
      <w:marBottom w:val="0"/>
      <w:divBdr>
        <w:top w:val="none" w:sz="0" w:space="0" w:color="auto"/>
        <w:left w:val="none" w:sz="0" w:space="0" w:color="auto"/>
        <w:bottom w:val="none" w:sz="0" w:space="0" w:color="auto"/>
        <w:right w:val="none" w:sz="0" w:space="0" w:color="auto"/>
      </w:divBdr>
    </w:div>
    <w:div w:id="349992779">
      <w:bodyDiv w:val="1"/>
      <w:marLeft w:val="0"/>
      <w:marRight w:val="0"/>
      <w:marTop w:val="0"/>
      <w:marBottom w:val="0"/>
      <w:divBdr>
        <w:top w:val="none" w:sz="0" w:space="0" w:color="auto"/>
        <w:left w:val="none" w:sz="0" w:space="0" w:color="auto"/>
        <w:bottom w:val="none" w:sz="0" w:space="0" w:color="auto"/>
        <w:right w:val="none" w:sz="0" w:space="0" w:color="auto"/>
      </w:divBdr>
    </w:div>
    <w:div w:id="352193153">
      <w:bodyDiv w:val="1"/>
      <w:marLeft w:val="0"/>
      <w:marRight w:val="0"/>
      <w:marTop w:val="0"/>
      <w:marBottom w:val="0"/>
      <w:divBdr>
        <w:top w:val="none" w:sz="0" w:space="0" w:color="auto"/>
        <w:left w:val="none" w:sz="0" w:space="0" w:color="auto"/>
        <w:bottom w:val="none" w:sz="0" w:space="0" w:color="auto"/>
        <w:right w:val="none" w:sz="0" w:space="0" w:color="auto"/>
      </w:divBdr>
    </w:div>
    <w:div w:id="364604244">
      <w:bodyDiv w:val="1"/>
      <w:marLeft w:val="0"/>
      <w:marRight w:val="0"/>
      <w:marTop w:val="0"/>
      <w:marBottom w:val="0"/>
      <w:divBdr>
        <w:top w:val="none" w:sz="0" w:space="0" w:color="auto"/>
        <w:left w:val="none" w:sz="0" w:space="0" w:color="auto"/>
        <w:bottom w:val="none" w:sz="0" w:space="0" w:color="auto"/>
        <w:right w:val="none" w:sz="0" w:space="0" w:color="auto"/>
      </w:divBdr>
    </w:div>
    <w:div w:id="380712221">
      <w:bodyDiv w:val="1"/>
      <w:marLeft w:val="0"/>
      <w:marRight w:val="0"/>
      <w:marTop w:val="0"/>
      <w:marBottom w:val="0"/>
      <w:divBdr>
        <w:top w:val="none" w:sz="0" w:space="0" w:color="auto"/>
        <w:left w:val="none" w:sz="0" w:space="0" w:color="auto"/>
        <w:bottom w:val="none" w:sz="0" w:space="0" w:color="auto"/>
        <w:right w:val="none" w:sz="0" w:space="0" w:color="auto"/>
      </w:divBdr>
    </w:div>
    <w:div w:id="408626010">
      <w:bodyDiv w:val="1"/>
      <w:marLeft w:val="0"/>
      <w:marRight w:val="0"/>
      <w:marTop w:val="0"/>
      <w:marBottom w:val="0"/>
      <w:divBdr>
        <w:top w:val="none" w:sz="0" w:space="0" w:color="auto"/>
        <w:left w:val="none" w:sz="0" w:space="0" w:color="auto"/>
        <w:bottom w:val="none" w:sz="0" w:space="0" w:color="auto"/>
        <w:right w:val="none" w:sz="0" w:space="0" w:color="auto"/>
      </w:divBdr>
    </w:div>
    <w:div w:id="409161402">
      <w:bodyDiv w:val="1"/>
      <w:marLeft w:val="0"/>
      <w:marRight w:val="0"/>
      <w:marTop w:val="0"/>
      <w:marBottom w:val="0"/>
      <w:divBdr>
        <w:top w:val="none" w:sz="0" w:space="0" w:color="auto"/>
        <w:left w:val="none" w:sz="0" w:space="0" w:color="auto"/>
        <w:bottom w:val="none" w:sz="0" w:space="0" w:color="auto"/>
        <w:right w:val="none" w:sz="0" w:space="0" w:color="auto"/>
      </w:divBdr>
    </w:div>
    <w:div w:id="429661326">
      <w:bodyDiv w:val="1"/>
      <w:marLeft w:val="0"/>
      <w:marRight w:val="0"/>
      <w:marTop w:val="0"/>
      <w:marBottom w:val="0"/>
      <w:divBdr>
        <w:top w:val="none" w:sz="0" w:space="0" w:color="auto"/>
        <w:left w:val="none" w:sz="0" w:space="0" w:color="auto"/>
        <w:bottom w:val="none" w:sz="0" w:space="0" w:color="auto"/>
        <w:right w:val="none" w:sz="0" w:space="0" w:color="auto"/>
      </w:divBdr>
    </w:div>
    <w:div w:id="450709715">
      <w:bodyDiv w:val="1"/>
      <w:marLeft w:val="0"/>
      <w:marRight w:val="0"/>
      <w:marTop w:val="0"/>
      <w:marBottom w:val="0"/>
      <w:divBdr>
        <w:top w:val="none" w:sz="0" w:space="0" w:color="auto"/>
        <w:left w:val="none" w:sz="0" w:space="0" w:color="auto"/>
        <w:bottom w:val="none" w:sz="0" w:space="0" w:color="auto"/>
        <w:right w:val="none" w:sz="0" w:space="0" w:color="auto"/>
      </w:divBdr>
    </w:div>
    <w:div w:id="488792365">
      <w:bodyDiv w:val="1"/>
      <w:marLeft w:val="0"/>
      <w:marRight w:val="0"/>
      <w:marTop w:val="0"/>
      <w:marBottom w:val="0"/>
      <w:divBdr>
        <w:top w:val="none" w:sz="0" w:space="0" w:color="auto"/>
        <w:left w:val="none" w:sz="0" w:space="0" w:color="auto"/>
        <w:bottom w:val="none" w:sz="0" w:space="0" w:color="auto"/>
        <w:right w:val="none" w:sz="0" w:space="0" w:color="auto"/>
      </w:divBdr>
    </w:div>
    <w:div w:id="496388966">
      <w:bodyDiv w:val="1"/>
      <w:marLeft w:val="0"/>
      <w:marRight w:val="0"/>
      <w:marTop w:val="0"/>
      <w:marBottom w:val="0"/>
      <w:divBdr>
        <w:top w:val="none" w:sz="0" w:space="0" w:color="auto"/>
        <w:left w:val="none" w:sz="0" w:space="0" w:color="auto"/>
        <w:bottom w:val="none" w:sz="0" w:space="0" w:color="auto"/>
        <w:right w:val="none" w:sz="0" w:space="0" w:color="auto"/>
      </w:divBdr>
    </w:div>
    <w:div w:id="524247769">
      <w:bodyDiv w:val="1"/>
      <w:marLeft w:val="0"/>
      <w:marRight w:val="0"/>
      <w:marTop w:val="0"/>
      <w:marBottom w:val="0"/>
      <w:divBdr>
        <w:top w:val="none" w:sz="0" w:space="0" w:color="auto"/>
        <w:left w:val="none" w:sz="0" w:space="0" w:color="auto"/>
        <w:bottom w:val="none" w:sz="0" w:space="0" w:color="auto"/>
        <w:right w:val="none" w:sz="0" w:space="0" w:color="auto"/>
      </w:divBdr>
    </w:div>
    <w:div w:id="526912193">
      <w:bodyDiv w:val="1"/>
      <w:marLeft w:val="0"/>
      <w:marRight w:val="0"/>
      <w:marTop w:val="0"/>
      <w:marBottom w:val="0"/>
      <w:divBdr>
        <w:top w:val="none" w:sz="0" w:space="0" w:color="auto"/>
        <w:left w:val="none" w:sz="0" w:space="0" w:color="auto"/>
        <w:bottom w:val="none" w:sz="0" w:space="0" w:color="auto"/>
        <w:right w:val="none" w:sz="0" w:space="0" w:color="auto"/>
      </w:divBdr>
    </w:div>
    <w:div w:id="526918125">
      <w:bodyDiv w:val="1"/>
      <w:marLeft w:val="0"/>
      <w:marRight w:val="0"/>
      <w:marTop w:val="0"/>
      <w:marBottom w:val="0"/>
      <w:divBdr>
        <w:top w:val="none" w:sz="0" w:space="0" w:color="auto"/>
        <w:left w:val="none" w:sz="0" w:space="0" w:color="auto"/>
        <w:bottom w:val="none" w:sz="0" w:space="0" w:color="auto"/>
        <w:right w:val="none" w:sz="0" w:space="0" w:color="auto"/>
      </w:divBdr>
    </w:div>
    <w:div w:id="529342990">
      <w:bodyDiv w:val="1"/>
      <w:marLeft w:val="0"/>
      <w:marRight w:val="0"/>
      <w:marTop w:val="0"/>
      <w:marBottom w:val="0"/>
      <w:divBdr>
        <w:top w:val="none" w:sz="0" w:space="0" w:color="auto"/>
        <w:left w:val="none" w:sz="0" w:space="0" w:color="auto"/>
        <w:bottom w:val="none" w:sz="0" w:space="0" w:color="auto"/>
        <w:right w:val="none" w:sz="0" w:space="0" w:color="auto"/>
      </w:divBdr>
    </w:div>
    <w:div w:id="534393769">
      <w:bodyDiv w:val="1"/>
      <w:marLeft w:val="0"/>
      <w:marRight w:val="0"/>
      <w:marTop w:val="0"/>
      <w:marBottom w:val="0"/>
      <w:divBdr>
        <w:top w:val="none" w:sz="0" w:space="0" w:color="auto"/>
        <w:left w:val="none" w:sz="0" w:space="0" w:color="auto"/>
        <w:bottom w:val="none" w:sz="0" w:space="0" w:color="auto"/>
        <w:right w:val="none" w:sz="0" w:space="0" w:color="auto"/>
      </w:divBdr>
    </w:div>
    <w:div w:id="543374559">
      <w:bodyDiv w:val="1"/>
      <w:marLeft w:val="0"/>
      <w:marRight w:val="0"/>
      <w:marTop w:val="0"/>
      <w:marBottom w:val="0"/>
      <w:divBdr>
        <w:top w:val="none" w:sz="0" w:space="0" w:color="auto"/>
        <w:left w:val="none" w:sz="0" w:space="0" w:color="auto"/>
        <w:bottom w:val="none" w:sz="0" w:space="0" w:color="auto"/>
        <w:right w:val="none" w:sz="0" w:space="0" w:color="auto"/>
      </w:divBdr>
    </w:div>
    <w:div w:id="554506542">
      <w:bodyDiv w:val="1"/>
      <w:marLeft w:val="0"/>
      <w:marRight w:val="0"/>
      <w:marTop w:val="0"/>
      <w:marBottom w:val="0"/>
      <w:divBdr>
        <w:top w:val="none" w:sz="0" w:space="0" w:color="auto"/>
        <w:left w:val="none" w:sz="0" w:space="0" w:color="auto"/>
        <w:bottom w:val="none" w:sz="0" w:space="0" w:color="auto"/>
        <w:right w:val="none" w:sz="0" w:space="0" w:color="auto"/>
      </w:divBdr>
    </w:div>
    <w:div w:id="558319139">
      <w:bodyDiv w:val="1"/>
      <w:marLeft w:val="0"/>
      <w:marRight w:val="0"/>
      <w:marTop w:val="0"/>
      <w:marBottom w:val="0"/>
      <w:divBdr>
        <w:top w:val="none" w:sz="0" w:space="0" w:color="auto"/>
        <w:left w:val="none" w:sz="0" w:space="0" w:color="auto"/>
        <w:bottom w:val="none" w:sz="0" w:space="0" w:color="auto"/>
        <w:right w:val="none" w:sz="0" w:space="0" w:color="auto"/>
      </w:divBdr>
    </w:div>
    <w:div w:id="571474960">
      <w:bodyDiv w:val="1"/>
      <w:marLeft w:val="0"/>
      <w:marRight w:val="0"/>
      <w:marTop w:val="0"/>
      <w:marBottom w:val="0"/>
      <w:divBdr>
        <w:top w:val="none" w:sz="0" w:space="0" w:color="auto"/>
        <w:left w:val="none" w:sz="0" w:space="0" w:color="auto"/>
        <w:bottom w:val="none" w:sz="0" w:space="0" w:color="auto"/>
        <w:right w:val="none" w:sz="0" w:space="0" w:color="auto"/>
      </w:divBdr>
    </w:div>
    <w:div w:id="573592462">
      <w:bodyDiv w:val="1"/>
      <w:marLeft w:val="0"/>
      <w:marRight w:val="0"/>
      <w:marTop w:val="0"/>
      <w:marBottom w:val="0"/>
      <w:divBdr>
        <w:top w:val="none" w:sz="0" w:space="0" w:color="auto"/>
        <w:left w:val="none" w:sz="0" w:space="0" w:color="auto"/>
        <w:bottom w:val="none" w:sz="0" w:space="0" w:color="auto"/>
        <w:right w:val="none" w:sz="0" w:space="0" w:color="auto"/>
      </w:divBdr>
    </w:div>
    <w:div w:id="584848325">
      <w:bodyDiv w:val="1"/>
      <w:marLeft w:val="0"/>
      <w:marRight w:val="0"/>
      <w:marTop w:val="0"/>
      <w:marBottom w:val="0"/>
      <w:divBdr>
        <w:top w:val="none" w:sz="0" w:space="0" w:color="auto"/>
        <w:left w:val="none" w:sz="0" w:space="0" w:color="auto"/>
        <w:bottom w:val="none" w:sz="0" w:space="0" w:color="auto"/>
        <w:right w:val="none" w:sz="0" w:space="0" w:color="auto"/>
      </w:divBdr>
    </w:div>
    <w:div w:id="591083530">
      <w:bodyDiv w:val="1"/>
      <w:marLeft w:val="0"/>
      <w:marRight w:val="0"/>
      <w:marTop w:val="0"/>
      <w:marBottom w:val="0"/>
      <w:divBdr>
        <w:top w:val="none" w:sz="0" w:space="0" w:color="auto"/>
        <w:left w:val="none" w:sz="0" w:space="0" w:color="auto"/>
        <w:bottom w:val="none" w:sz="0" w:space="0" w:color="auto"/>
        <w:right w:val="none" w:sz="0" w:space="0" w:color="auto"/>
      </w:divBdr>
    </w:div>
    <w:div w:id="593054405">
      <w:bodyDiv w:val="1"/>
      <w:marLeft w:val="0"/>
      <w:marRight w:val="0"/>
      <w:marTop w:val="0"/>
      <w:marBottom w:val="0"/>
      <w:divBdr>
        <w:top w:val="none" w:sz="0" w:space="0" w:color="auto"/>
        <w:left w:val="none" w:sz="0" w:space="0" w:color="auto"/>
        <w:bottom w:val="none" w:sz="0" w:space="0" w:color="auto"/>
        <w:right w:val="none" w:sz="0" w:space="0" w:color="auto"/>
      </w:divBdr>
    </w:div>
    <w:div w:id="608515464">
      <w:bodyDiv w:val="1"/>
      <w:marLeft w:val="0"/>
      <w:marRight w:val="0"/>
      <w:marTop w:val="0"/>
      <w:marBottom w:val="0"/>
      <w:divBdr>
        <w:top w:val="none" w:sz="0" w:space="0" w:color="auto"/>
        <w:left w:val="none" w:sz="0" w:space="0" w:color="auto"/>
        <w:bottom w:val="none" w:sz="0" w:space="0" w:color="auto"/>
        <w:right w:val="none" w:sz="0" w:space="0" w:color="auto"/>
      </w:divBdr>
    </w:div>
    <w:div w:id="609747099">
      <w:bodyDiv w:val="1"/>
      <w:marLeft w:val="0"/>
      <w:marRight w:val="0"/>
      <w:marTop w:val="0"/>
      <w:marBottom w:val="0"/>
      <w:divBdr>
        <w:top w:val="none" w:sz="0" w:space="0" w:color="auto"/>
        <w:left w:val="none" w:sz="0" w:space="0" w:color="auto"/>
        <w:bottom w:val="none" w:sz="0" w:space="0" w:color="auto"/>
        <w:right w:val="none" w:sz="0" w:space="0" w:color="auto"/>
      </w:divBdr>
    </w:div>
    <w:div w:id="627324435">
      <w:bodyDiv w:val="1"/>
      <w:marLeft w:val="0"/>
      <w:marRight w:val="0"/>
      <w:marTop w:val="0"/>
      <w:marBottom w:val="0"/>
      <w:divBdr>
        <w:top w:val="none" w:sz="0" w:space="0" w:color="auto"/>
        <w:left w:val="none" w:sz="0" w:space="0" w:color="auto"/>
        <w:bottom w:val="none" w:sz="0" w:space="0" w:color="auto"/>
        <w:right w:val="none" w:sz="0" w:space="0" w:color="auto"/>
      </w:divBdr>
    </w:div>
    <w:div w:id="636183738">
      <w:bodyDiv w:val="1"/>
      <w:marLeft w:val="0"/>
      <w:marRight w:val="0"/>
      <w:marTop w:val="0"/>
      <w:marBottom w:val="0"/>
      <w:divBdr>
        <w:top w:val="none" w:sz="0" w:space="0" w:color="auto"/>
        <w:left w:val="none" w:sz="0" w:space="0" w:color="auto"/>
        <w:bottom w:val="none" w:sz="0" w:space="0" w:color="auto"/>
        <w:right w:val="none" w:sz="0" w:space="0" w:color="auto"/>
      </w:divBdr>
    </w:div>
    <w:div w:id="645667901">
      <w:bodyDiv w:val="1"/>
      <w:marLeft w:val="0"/>
      <w:marRight w:val="0"/>
      <w:marTop w:val="0"/>
      <w:marBottom w:val="0"/>
      <w:divBdr>
        <w:top w:val="none" w:sz="0" w:space="0" w:color="auto"/>
        <w:left w:val="none" w:sz="0" w:space="0" w:color="auto"/>
        <w:bottom w:val="none" w:sz="0" w:space="0" w:color="auto"/>
        <w:right w:val="none" w:sz="0" w:space="0" w:color="auto"/>
      </w:divBdr>
    </w:div>
    <w:div w:id="654191259">
      <w:bodyDiv w:val="1"/>
      <w:marLeft w:val="0"/>
      <w:marRight w:val="0"/>
      <w:marTop w:val="0"/>
      <w:marBottom w:val="0"/>
      <w:divBdr>
        <w:top w:val="none" w:sz="0" w:space="0" w:color="auto"/>
        <w:left w:val="none" w:sz="0" w:space="0" w:color="auto"/>
        <w:bottom w:val="none" w:sz="0" w:space="0" w:color="auto"/>
        <w:right w:val="none" w:sz="0" w:space="0" w:color="auto"/>
      </w:divBdr>
    </w:div>
    <w:div w:id="682585302">
      <w:bodyDiv w:val="1"/>
      <w:marLeft w:val="0"/>
      <w:marRight w:val="0"/>
      <w:marTop w:val="0"/>
      <w:marBottom w:val="0"/>
      <w:divBdr>
        <w:top w:val="none" w:sz="0" w:space="0" w:color="auto"/>
        <w:left w:val="none" w:sz="0" w:space="0" w:color="auto"/>
        <w:bottom w:val="none" w:sz="0" w:space="0" w:color="auto"/>
        <w:right w:val="none" w:sz="0" w:space="0" w:color="auto"/>
      </w:divBdr>
    </w:div>
    <w:div w:id="709889159">
      <w:bodyDiv w:val="1"/>
      <w:marLeft w:val="0"/>
      <w:marRight w:val="0"/>
      <w:marTop w:val="0"/>
      <w:marBottom w:val="0"/>
      <w:divBdr>
        <w:top w:val="none" w:sz="0" w:space="0" w:color="auto"/>
        <w:left w:val="none" w:sz="0" w:space="0" w:color="auto"/>
        <w:bottom w:val="none" w:sz="0" w:space="0" w:color="auto"/>
        <w:right w:val="none" w:sz="0" w:space="0" w:color="auto"/>
      </w:divBdr>
    </w:div>
    <w:div w:id="713889945">
      <w:bodyDiv w:val="1"/>
      <w:marLeft w:val="0"/>
      <w:marRight w:val="0"/>
      <w:marTop w:val="0"/>
      <w:marBottom w:val="0"/>
      <w:divBdr>
        <w:top w:val="none" w:sz="0" w:space="0" w:color="auto"/>
        <w:left w:val="none" w:sz="0" w:space="0" w:color="auto"/>
        <w:bottom w:val="none" w:sz="0" w:space="0" w:color="auto"/>
        <w:right w:val="none" w:sz="0" w:space="0" w:color="auto"/>
      </w:divBdr>
    </w:div>
    <w:div w:id="729576325">
      <w:bodyDiv w:val="1"/>
      <w:marLeft w:val="0"/>
      <w:marRight w:val="0"/>
      <w:marTop w:val="0"/>
      <w:marBottom w:val="0"/>
      <w:divBdr>
        <w:top w:val="none" w:sz="0" w:space="0" w:color="auto"/>
        <w:left w:val="none" w:sz="0" w:space="0" w:color="auto"/>
        <w:bottom w:val="none" w:sz="0" w:space="0" w:color="auto"/>
        <w:right w:val="none" w:sz="0" w:space="0" w:color="auto"/>
      </w:divBdr>
    </w:div>
    <w:div w:id="732852741">
      <w:bodyDiv w:val="1"/>
      <w:marLeft w:val="0"/>
      <w:marRight w:val="0"/>
      <w:marTop w:val="0"/>
      <w:marBottom w:val="0"/>
      <w:divBdr>
        <w:top w:val="none" w:sz="0" w:space="0" w:color="auto"/>
        <w:left w:val="none" w:sz="0" w:space="0" w:color="auto"/>
        <w:bottom w:val="none" w:sz="0" w:space="0" w:color="auto"/>
        <w:right w:val="none" w:sz="0" w:space="0" w:color="auto"/>
      </w:divBdr>
    </w:div>
    <w:div w:id="746419559">
      <w:bodyDiv w:val="1"/>
      <w:marLeft w:val="0"/>
      <w:marRight w:val="0"/>
      <w:marTop w:val="0"/>
      <w:marBottom w:val="0"/>
      <w:divBdr>
        <w:top w:val="none" w:sz="0" w:space="0" w:color="auto"/>
        <w:left w:val="none" w:sz="0" w:space="0" w:color="auto"/>
        <w:bottom w:val="none" w:sz="0" w:space="0" w:color="auto"/>
        <w:right w:val="none" w:sz="0" w:space="0" w:color="auto"/>
      </w:divBdr>
    </w:div>
    <w:div w:id="758599027">
      <w:bodyDiv w:val="1"/>
      <w:marLeft w:val="0"/>
      <w:marRight w:val="0"/>
      <w:marTop w:val="0"/>
      <w:marBottom w:val="0"/>
      <w:divBdr>
        <w:top w:val="none" w:sz="0" w:space="0" w:color="auto"/>
        <w:left w:val="none" w:sz="0" w:space="0" w:color="auto"/>
        <w:bottom w:val="none" w:sz="0" w:space="0" w:color="auto"/>
        <w:right w:val="none" w:sz="0" w:space="0" w:color="auto"/>
      </w:divBdr>
    </w:div>
    <w:div w:id="760372800">
      <w:bodyDiv w:val="1"/>
      <w:marLeft w:val="0"/>
      <w:marRight w:val="0"/>
      <w:marTop w:val="0"/>
      <w:marBottom w:val="0"/>
      <w:divBdr>
        <w:top w:val="none" w:sz="0" w:space="0" w:color="auto"/>
        <w:left w:val="none" w:sz="0" w:space="0" w:color="auto"/>
        <w:bottom w:val="none" w:sz="0" w:space="0" w:color="auto"/>
        <w:right w:val="none" w:sz="0" w:space="0" w:color="auto"/>
      </w:divBdr>
    </w:div>
    <w:div w:id="767970653">
      <w:bodyDiv w:val="1"/>
      <w:marLeft w:val="0"/>
      <w:marRight w:val="0"/>
      <w:marTop w:val="0"/>
      <w:marBottom w:val="0"/>
      <w:divBdr>
        <w:top w:val="none" w:sz="0" w:space="0" w:color="auto"/>
        <w:left w:val="none" w:sz="0" w:space="0" w:color="auto"/>
        <w:bottom w:val="none" w:sz="0" w:space="0" w:color="auto"/>
        <w:right w:val="none" w:sz="0" w:space="0" w:color="auto"/>
      </w:divBdr>
    </w:div>
    <w:div w:id="769280312">
      <w:bodyDiv w:val="1"/>
      <w:marLeft w:val="0"/>
      <w:marRight w:val="0"/>
      <w:marTop w:val="0"/>
      <w:marBottom w:val="0"/>
      <w:divBdr>
        <w:top w:val="none" w:sz="0" w:space="0" w:color="auto"/>
        <w:left w:val="none" w:sz="0" w:space="0" w:color="auto"/>
        <w:bottom w:val="none" w:sz="0" w:space="0" w:color="auto"/>
        <w:right w:val="none" w:sz="0" w:space="0" w:color="auto"/>
      </w:divBdr>
    </w:div>
    <w:div w:id="778791519">
      <w:bodyDiv w:val="1"/>
      <w:marLeft w:val="0"/>
      <w:marRight w:val="0"/>
      <w:marTop w:val="0"/>
      <w:marBottom w:val="0"/>
      <w:divBdr>
        <w:top w:val="none" w:sz="0" w:space="0" w:color="auto"/>
        <w:left w:val="none" w:sz="0" w:space="0" w:color="auto"/>
        <w:bottom w:val="none" w:sz="0" w:space="0" w:color="auto"/>
        <w:right w:val="none" w:sz="0" w:space="0" w:color="auto"/>
      </w:divBdr>
    </w:div>
    <w:div w:id="795412878">
      <w:bodyDiv w:val="1"/>
      <w:marLeft w:val="0"/>
      <w:marRight w:val="0"/>
      <w:marTop w:val="0"/>
      <w:marBottom w:val="0"/>
      <w:divBdr>
        <w:top w:val="none" w:sz="0" w:space="0" w:color="auto"/>
        <w:left w:val="none" w:sz="0" w:space="0" w:color="auto"/>
        <w:bottom w:val="none" w:sz="0" w:space="0" w:color="auto"/>
        <w:right w:val="none" w:sz="0" w:space="0" w:color="auto"/>
      </w:divBdr>
    </w:div>
    <w:div w:id="800345856">
      <w:bodyDiv w:val="1"/>
      <w:marLeft w:val="0"/>
      <w:marRight w:val="0"/>
      <w:marTop w:val="0"/>
      <w:marBottom w:val="0"/>
      <w:divBdr>
        <w:top w:val="none" w:sz="0" w:space="0" w:color="auto"/>
        <w:left w:val="none" w:sz="0" w:space="0" w:color="auto"/>
        <w:bottom w:val="none" w:sz="0" w:space="0" w:color="auto"/>
        <w:right w:val="none" w:sz="0" w:space="0" w:color="auto"/>
      </w:divBdr>
    </w:div>
    <w:div w:id="800730287">
      <w:bodyDiv w:val="1"/>
      <w:marLeft w:val="0"/>
      <w:marRight w:val="0"/>
      <w:marTop w:val="0"/>
      <w:marBottom w:val="0"/>
      <w:divBdr>
        <w:top w:val="none" w:sz="0" w:space="0" w:color="auto"/>
        <w:left w:val="none" w:sz="0" w:space="0" w:color="auto"/>
        <w:bottom w:val="none" w:sz="0" w:space="0" w:color="auto"/>
        <w:right w:val="none" w:sz="0" w:space="0" w:color="auto"/>
      </w:divBdr>
    </w:div>
    <w:div w:id="830826863">
      <w:bodyDiv w:val="1"/>
      <w:marLeft w:val="0"/>
      <w:marRight w:val="0"/>
      <w:marTop w:val="0"/>
      <w:marBottom w:val="0"/>
      <w:divBdr>
        <w:top w:val="none" w:sz="0" w:space="0" w:color="auto"/>
        <w:left w:val="none" w:sz="0" w:space="0" w:color="auto"/>
        <w:bottom w:val="none" w:sz="0" w:space="0" w:color="auto"/>
        <w:right w:val="none" w:sz="0" w:space="0" w:color="auto"/>
      </w:divBdr>
    </w:div>
    <w:div w:id="878591073">
      <w:bodyDiv w:val="1"/>
      <w:marLeft w:val="0"/>
      <w:marRight w:val="0"/>
      <w:marTop w:val="0"/>
      <w:marBottom w:val="0"/>
      <w:divBdr>
        <w:top w:val="none" w:sz="0" w:space="0" w:color="auto"/>
        <w:left w:val="none" w:sz="0" w:space="0" w:color="auto"/>
        <w:bottom w:val="none" w:sz="0" w:space="0" w:color="auto"/>
        <w:right w:val="none" w:sz="0" w:space="0" w:color="auto"/>
      </w:divBdr>
    </w:div>
    <w:div w:id="906722339">
      <w:bodyDiv w:val="1"/>
      <w:marLeft w:val="0"/>
      <w:marRight w:val="0"/>
      <w:marTop w:val="0"/>
      <w:marBottom w:val="0"/>
      <w:divBdr>
        <w:top w:val="none" w:sz="0" w:space="0" w:color="auto"/>
        <w:left w:val="none" w:sz="0" w:space="0" w:color="auto"/>
        <w:bottom w:val="none" w:sz="0" w:space="0" w:color="auto"/>
        <w:right w:val="none" w:sz="0" w:space="0" w:color="auto"/>
      </w:divBdr>
    </w:div>
    <w:div w:id="938678377">
      <w:bodyDiv w:val="1"/>
      <w:marLeft w:val="0"/>
      <w:marRight w:val="0"/>
      <w:marTop w:val="0"/>
      <w:marBottom w:val="0"/>
      <w:divBdr>
        <w:top w:val="none" w:sz="0" w:space="0" w:color="auto"/>
        <w:left w:val="none" w:sz="0" w:space="0" w:color="auto"/>
        <w:bottom w:val="none" w:sz="0" w:space="0" w:color="auto"/>
        <w:right w:val="none" w:sz="0" w:space="0" w:color="auto"/>
      </w:divBdr>
    </w:div>
    <w:div w:id="941760774">
      <w:bodyDiv w:val="1"/>
      <w:marLeft w:val="0"/>
      <w:marRight w:val="0"/>
      <w:marTop w:val="0"/>
      <w:marBottom w:val="0"/>
      <w:divBdr>
        <w:top w:val="none" w:sz="0" w:space="0" w:color="auto"/>
        <w:left w:val="none" w:sz="0" w:space="0" w:color="auto"/>
        <w:bottom w:val="none" w:sz="0" w:space="0" w:color="auto"/>
        <w:right w:val="none" w:sz="0" w:space="0" w:color="auto"/>
      </w:divBdr>
    </w:div>
    <w:div w:id="948312713">
      <w:bodyDiv w:val="1"/>
      <w:marLeft w:val="0"/>
      <w:marRight w:val="0"/>
      <w:marTop w:val="0"/>
      <w:marBottom w:val="0"/>
      <w:divBdr>
        <w:top w:val="none" w:sz="0" w:space="0" w:color="auto"/>
        <w:left w:val="none" w:sz="0" w:space="0" w:color="auto"/>
        <w:bottom w:val="none" w:sz="0" w:space="0" w:color="auto"/>
        <w:right w:val="none" w:sz="0" w:space="0" w:color="auto"/>
      </w:divBdr>
    </w:div>
    <w:div w:id="952975219">
      <w:bodyDiv w:val="1"/>
      <w:marLeft w:val="0"/>
      <w:marRight w:val="0"/>
      <w:marTop w:val="0"/>
      <w:marBottom w:val="0"/>
      <w:divBdr>
        <w:top w:val="none" w:sz="0" w:space="0" w:color="auto"/>
        <w:left w:val="none" w:sz="0" w:space="0" w:color="auto"/>
        <w:bottom w:val="none" w:sz="0" w:space="0" w:color="auto"/>
        <w:right w:val="none" w:sz="0" w:space="0" w:color="auto"/>
      </w:divBdr>
    </w:div>
    <w:div w:id="963585519">
      <w:bodyDiv w:val="1"/>
      <w:marLeft w:val="0"/>
      <w:marRight w:val="0"/>
      <w:marTop w:val="0"/>
      <w:marBottom w:val="0"/>
      <w:divBdr>
        <w:top w:val="none" w:sz="0" w:space="0" w:color="auto"/>
        <w:left w:val="none" w:sz="0" w:space="0" w:color="auto"/>
        <w:bottom w:val="none" w:sz="0" w:space="0" w:color="auto"/>
        <w:right w:val="none" w:sz="0" w:space="0" w:color="auto"/>
      </w:divBdr>
    </w:div>
    <w:div w:id="966739420">
      <w:bodyDiv w:val="1"/>
      <w:marLeft w:val="0"/>
      <w:marRight w:val="0"/>
      <w:marTop w:val="0"/>
      <w:marBottom w:val="0"/>
      <w:divBdr>
        <w:top w:val="none" w:sz="0" w:space="0" w:color="auto"/>
        <w:left w:val="none" w:sz="0" w:space="0" w:color="auto"/>
        <w:bottom w:val="none" w:sz="0" w:space="0" w:color="auto"/>
        <w:right w:val="none" w:sz="0" w:space="0" w:color="auto"/>
      </w:divBdr>
    </w:div>
    <w:div w:id="990863812">
      <w:bodyDiv w:val="1"/>
      <w:marLeft w:val="0"/>
      <w:marRight w:val="0"/>
      <w:marTop w:val="0"/>
      <w:marBottom w:val="0"/>
      <w:divBdr>
        <w:top w:val="none" w:sz="0" w:space="0" w:color="auto"/>
        <w:left w:val="none" w:sz="0" w:space="0" w:color="auto"/>
        <w:bottom w:val="none" w:sz="0" w:space="0" w:color="auto"/>
        <w:right w:val="none" w:sz="0" w:space="0" w:color="auto"/>
      </w:divBdr>
    </w:div>
    <w:div w:id="997000525">
      <w:bodyDiv w:val="1"/>
      <w:marLeft w:val="0"/>
      <w:marRight w:val="0"/>
      <w:marTop w:val="0"/>
      <w:marBottom w:val="0"/>
      <w:divBdr>
        <w:top w:val="none" w:sz="0" w:space="0" w:color="auto"/>
        <w:left w:val="none" w:sz="0" w:space="0" w:color="auto"/>
        <w:bottom w:val="none" w:sz="0" w:space="0" w:color="auto"/>
        <w:right w:val="none" w:sz="0" w:space="0" w:color="auto"/>
      </w:divBdr>
    </w:div>
    <w:div w:id="998733413">
      <w:bodyDiv w:val="1"/>
      <w:marLeft w:val="0"/>
      <w:marRight w:val="0"/>
      <w:marTop w:val="0"/>
      <w:marBottom w:val="0"/>
      <w:divBdr>
        <w:top w:val="none" w:sz="0" w:space="0" w:color="auto"/>
        <w:left w:val="none" w:sz="0" w:space="0" w:color="auto"/>
        <w:bottom w:val="none" w:sz="0" w:space="0" w:color="auto"/>
        <w:right w:val="none" w:sz="0" w:space="0" w:color="auto"/>
      </w:divBdr>
    </w:div>
    <w:div w:id="1002508090">
      <w:bodyDiv w:val="1"/>
      <w:marLeft w:val="0"/>
      <w:marRight w:val="0"/>
      <w:marTop w:val="0"/>
      <w:marBottom w:val="0"/>
      <w:divBdr>
        <w:top w:val="none" w:sz="0" w:space="0" w:color="auto"/>
        <w:left w:val="none" w:sz="0" w:space="0" w:color="auto"/>
        <w:bottom w:val="none" w:sz="0" w:space="0" w:color="auto"/>
        <w:right w:val="none" w:sz="0" w:space="0" w:color="auto"/>
      </w:divBdr>
    </w:div>
    <w:div w:id="1009336476">
      <w:bodyDiv w:val="1"/>
      <w:marLeft w:val="0"/>
      <w:marRight w:val="0"/>
      <w:marTop w:val="0"/>
      <w:marBottom w:val="0"/>
      <w:divBdr>
        <w:top w:val="none" w:sz="0" w:space="0" w:color="auto"/>
        <w:left w:val="none" w:sz="0" w:space="0" w:color="auto"/>
        <w:bottom w:val="none" w:sz="0" w:space="0" w:color="auto"/>
        <w:right w:val="none" w:sz="0" w:space="0" w:color="auto"/>
      </w:divBdr>
    </w:div>
    <w:div w:id="1015032345">
      <w:bodyDiv w:val="1"/>
      <w:marLeft w:val="0"/>
      <w:marRight w:val="0"/>
      <w:marTop w:val="0"/>
      <w:marBottom w:val="0"/>
      <w:divBdr>
        <w:top w:val="none" w:sz="0" w:space="0" w:color="auto"/>
        <w:left w:val="none" w:sz="0" w:space="0" w:color="auto"/>
        <w:bottom w:val="none" w:sz="0" w:space="0" w:color="auto"/>
        <w:right w:val="none" w:sz="0" w:space="0" w:color="auto"/>
      </w:divBdr>
    </w:div>
    <w:div w:id="1029647196">
      <w:bodyDiv w:val="1"/>
      <w:marLeft w:val="0"/>
      <w:marRight w:val="0"/>
      <w:marTop w:val="0"/>
      <w:marBottom w:val="0"/>
      <w:divBdr>
        <w:top w:val="none" w:sz="0" w:space="0" w:color="auto"/>
        <w:left w:val="none" w:sz="0" w:space="0" w:color="auto"/>
        <w:bottom w:val="none" w:sz="0" w:space="0" w:color="auto"/>
        <w:right w:val="none" w:sz="0" w:space="0" w:color="auto"/>
      </w:divBdr>
    </w:div>
    <w:div w:id="1086608952">
      <w:bodyDiv w:val="1"/>
      <w:marLeft w:val="0"/>
      <w:marRight w:val="0"/>
      <w:marTop w:val="0"/>
      <w:marBottom w:val="0"/>
      <w:divBdr>
        <w:top w:val="none" w:sz="0" w:space="0" w:color="auto"/>
        <w:left w:val="none" w:sz="0" w:space="0" w:color="auto"/>
        <w:bottom w:val="none" w:sz="0" w:space="0" w:color="auto"/>
        <w:right w:val="none" w:sz="0" w:space="0" w:color="auto"/>
      </w:divBdr>
    </w:div>
    <w:div w:id="1086806883">
      <w:bodyDiv w:val="1"/>
      <w:marLeft w:val="0"/>
      <w:marRight w:val="0"/>
      <w:marTop w:val="0"/>
      <w:marBottom w:val="0"/>
      <w:divBdr>
        <w:top w:val="none" w:sz="0" w:space="0" w:color="auto"/>
        <w:left w:val="none" w:sz="0" w:space="0" w:color="auto"/>
        <w:bottom w:val="none" w:sz="0" w:space="0" w:color="auto"/>
        <w:right w:val="none" w:sz="0" w:space="0" w:color="auto"/>
      </w:divBdr>
    </w:div>
    <w:div w:id="1087651434">
      <w:bodyDiv w:val="1"/>
      <w:marLeft w:val="0"/>
      <w:marRight w:val="0"/>
      <w:marTop w:val="0"/>
      <w:marBottom w:val="0"/>
      <w:divBdr>
        <w:top w:val="none" w:sz="0" w:space="0" w:color="auto"/>
        <w:left w:val="none" w:sz="0" w:space="0" w:color="auto"/>
        <w:bottom w:val="none" w:sz="0" w:space="0" w:color="auto"/>
        <w:right w:val="none" w:sz="0" w:space="0" w:color="auto"/>
      </w:divBdr>
    </w:div>
    <w:div w:id="1113286823">
      <w:bodyDiv w:val="1"/>
      <w:marLeft w:val="0"/>
      <w:marRight w:val="0"/>
      <w:marTop w:val="0"/>
      <w:marBottom w:val="0"/>
      <w:divBdr>
        <w:top w:val="none" w:sz="0" w:space="0" w:color="auto"/>
        <w:left w:val="none" w:sz="0" w:space="0" w:color="auto"/>
        <w:bottom w:val="none" w:sz="0" w:space="0" w:color="auto"/>
        <w:right w:val="none" w:sz="0" w:space="0" w:color="auto"/>
      </w:divBdr>
    </w:div>
    <w:div w:id="1142844017">
      <w:bodyDiv w:val="1"/>
      <w:marLeft w:val="0"/>
      <w:marRight w:val="0"/>
      <w:marTop w:val="0"/>
      <w:marBottom w:val="0"/>
      <w:divBdr>
        <w:top w:val="none" w:sz="0" w:space="0" w:color="auto"/>
        <w:left w:val="none" w:sz="0" w:space="0" w:color="auto"/>
        <w:bottom w:val="none" w:sz="0" w:space="0" w:color="auto"/>
        <w:right w:val="none" w:sz="0" w:space="0" w:color="auto"/>
      </w:divBdr>
    </w:div>
    <w:div w:id="1164129548">
      <w:bodyDiv w:val="1"/>
      <w:marLeft w:val="0"/>
      <w:marRight w:val="0"/>
      <w:marTop w:val="0"/>
      <w:marBottom w:val="0"/>
      <w:divBdr>
        <w:top w:val="none" w:sz="0" w:space="0" w:color="auto"/>
        <w:left w:val="none" w:sz="0" w:space="0" w:color="auto"/>
        <w:bottom w:val="none" w:sz="0" w:space="0" w:color="auto"/>
        <w:right w:val="none" w:sz="0" w:space="0" w:color="auto"/>
      </w:divBdr>
    </w:div>
    <w:div w:id="1170025537">
      <w:bodyDiv w:val="1"/>
      <w:marLeft w:val="0"/>
      <w:marRight w:val="0"/>
      <w:marTop w:val="0"/>
      <w:marBottom w:val="0"/>
      <w:divBdr>
        <w:top w:val="none" w:sz="0" w:space="0" w:color="auto"/>
        <w:left w:val="none" w:sz="0" w:space="0" w:color="auto"/>
        <w:bottom w:val="none" w:sz="0" w:space="0" w:color="auto"/>
        <w:right w:val="none" w:sz="0" w:space="0" w:color="auto"/>
      </w:divBdr>
    </w:div>
    <w:div w:id="1191381633">
      <w:bodyDiv w:val="1"/>
      <w:marLeft w:val="0"/>
      <w:marRight w:val="0"/>
      <w:marTop w:val="0"/>
      <w:marBottom w:val="0"/>
      <w:divBdr>
        <w:top w:val="none" w:sz="0" w:space="0" w:color="auto"/>
        <w:left w:val="none" w:sz="0" w:space="0" w:color="auto"/>
        <w:bottom w:val="none" w:sz="0" w:space="0" w:color="auto"/>
        <w:right w:val="none" w:sz="0" w:space="0" w:color="auto"/>
      </w:divBdr>
    </w:div>
    <w:div w:id="1195846935">
      <w:bodyDiv w:val="1"/>
      <w:marLeft w:val="0"/>
      <w:marRight w:val="0"/>
      <w:marTop w:val="0"/>
      <w:marBottom w:val="0"/>
      <w:divBdr>
        <w:top w:val="none" w:sz="0" w:space="0" w:color="auto"/>
        <w:left w:val="none" w:sz="0" w:space="0" w:color="auto"/>
        <w:bottom w:val="none" w:sz="0" w:space="0" w:color="auto"/>
        <w:right w:val="none" w:sz="0" w:space="0" w:color="auto"/>
      </w:divBdr>
    </w:div>
    <w:div w:id="1196235321">
      <w:bodyDiv w:val="1"/>
      <w:marLeft w:val="0"/>
      <w:marRight w:val="0"/>
      <w:marTop w:val="0"/>
      <w:marBottom w:val="0"/>
      <w:divBdr>
        <w:top w:val="none" w:sz="0" w:space="0" w:color="auto"/>
        <w:left w:val="none" w:sz="0" w:space="0" w:color="auto"/>
        <w:bottom w:val="none" w:sz="0" w:space="0" w:color="auto"/>
        <w:right w:val="none" w:sz="0" w:space="0" w:color="auto"/>
      </w:divBdr>
    </w:div>
    <w:div w:id="1219586160">
      <w:bodyDiv w:val="1"/>
      <w:marLeft w:val="0"/>
      <w:marRight w:val="0"/>
      <w:marTop w:val="0"/>
      <w:marBottom w:val="0"/>
      <w:divBdr>
        <w:top w:val="none" w:sz="0" w:space="0" w:color="auto"/>
        <w:left w:val="none" w:sz="0" w:space="0" w:color="auto"/>
        <w:bottom w:val="none" w:sz="0" w:space="0" w:color="auto"/>
        <w:right w:val="none" w:sz="0" w:space="0" w:color="auto"/>
      </w:divBdr>
    </w:div>
    <w:div w:id="1223635694">
      <w:bodyDiv w:val="1"/>
      <w:marLeft w:val="0"/>
      <w:marRight w:val="0"/>
      <w:marTop w:val="0"/>
      <w:marBottom w:val="0"/>
      <w:divBdr>
        <w:top w:val="none" w:sz="0" w:space="0" w:color="auto"/>
        <w:left w:val="none" w:sz="0" w:space="0" w:color="auto"/>
        <w:bottom w:val="none" w:sz="0" w:space="0" w:color="auto"/>
        <w:right w:val="none" w:sz="0" w:space="0" w:color="auto"/>
      </w:divBdr>
    </w:div>
    <w:div w:id="1227692708">
      <w:bodyDiv w:val="1"/>
      <w:marLeft w:val="0"/>
      <w:marRight w:val="0"/>
      <w:marTop w:val="0"/>
      <w:marBottom w:val="0"/>
      <w:divBdr>
        <w:top w:val="none" w:sz="0" w:space="0" w:color="auto"/>
        <w:left w:val="none" w:sz="0" w:space="0" w:color="auto"/>
        <w:bottom w:val="none" w:sz="0" w:space="0" w:color="auto"/>
        <w:right w:val="none" w:sz="0" w:space="0" w:color="auto"/>
      </w:divBdr>
    </w:div>
    <w:div w:id="1253783394">
      <w:bodyDiv w:val="1"/>
      <w:marLeft w:val="0"/>
      <w:marRight w:val="0"/>
      <w:marTop w:val="0"/>
      <w:marBottom w:val="0"/>
      <w:divBdr>
        <w:top w:val="none" w:sz="0" w:space="0" w:color="auto"/>
        <w:left w:val="none" w:sz="0" w:space="0" w:color="auto"/>
        <w:bottom w:val="none" w:sz="0" w:space="0" w:color="auto"/>
        <w:right w:val="none" w:sz="0" w:space="0" w:color="auto"/>
      </w:divBdr>
    </w:div>
    <w:div w:id="1259606588">
      <w:bodyDiv w:val="1"/>
      <w:marLeft w:val="0"/>
      <w:marRight w:val="0"/>
      <w:marTop w:val="0"/>
      <w:marBottom w:val="0"/>
      <w:divBdr>
        <w:top w:val="none" w:sz="0" w:space="0" w:color="auto"/>
        <w:left w:val="none" w:sz="0" w:space="0" w:color="auto"/>
        <w:bottom w:val="none" w:sz="0" w:space="0" w:color="auto"/>
        <w:right w:val="none" w:sz="0" w:space="0" w:color="auto"/>
      </w:divBdr>
    </w:div>
    <w:div w:id="1259679793">
      <w:bodyDiv w:val="1"/>
      <w:marLeft w:val="0"/>
      <w:marRight w:val="0"/>
      <w:marTop w:val="0"/>
      <w:marBottom w:val="0"/>
      <w:divBdr>
        <w:top w:val="none" w:sz="0" w:space="0" w:color="auto"/>
        <w:left w:val="none" w:sz="0" w:space="0" w:color="auto"/>
        <w:bottom w:val="none" w:sz="0" w:space="0" w:color="auto"/>
        <w:right w:val="none" w:sz="0" w:space="0" w:color="auto"/>
      </w:divBdr>
    </w:div>
    <w:div w:id="1270815813">
      <w:bodyDiv w:val="1"/>
      <w:marLeft w:val="0"/>
      <w:marRight w:val="0"/>
      <w:marTop w:val="0"/>
      <w:marBottom w:val="0"/>
      <w:divBdr>
        <w:top w:val="none" w:sz="0" w:space="0" w:color="auto"/>
        <w:left w:val="none" w:sz="0" w:space="0" w:color="auto"/>
        <w:bottom w:val="none" w:sz="0" w:space="0" w:color="auto"/>
        <w:right w:val="none" w:sz="0" w:space="0" w:color="auto"/>
      </w:divBdr>
    </w:div>
    <w:div w:id="1278563017">
      <w:bodyDiv w:val="1"/>
      <w:marLeft w:val="0"/>
      <w:marRight w:val="0"/>
      <w:marTop w:val="0"/>
      <w:marBottom w:val="0"/>
      <w:divBdr>
        <w:top w:val="none" w:sz="0" w:space="0" w:color="auto"/>
        <w:left w:val="none" w:sz="0" w:space="0" w:color="auto"/>
        <w:bottom w:val="none" w:sz="0" w:space="0" w:color="auto"/>
        <w:right w:val="none" w:sz="0" w:space="0" w:color="auto"/>
      </w:divBdr>
    </w:div>
    <w:div w:id="1326981118">
      <w:bodyDiv w:val="1"/>
      <w:marLeft w:val="0"/>
      <w:marRight w:val="0"/>
      <w:marTop w:val="0"/>
      <w:marBottom w:val="0"/>
      <w:divBdr>
        <w:top w:val="none" w:sz="0" w:space="0" w:color="auto"/>
        <w:left w:val="none" w:sz="0" w:space="0" w:color="auto"/>
        <w:bottom w:val="none" w:sz="0" w:space="0" w:color="auto"/>
        <w:right w:val="none" w:sz="0" w:space="0" w:color="auto"/>
      </w:divBdr>
    </w:div>
    <w:div w:id="1334257505">
      <w:bodyDiv w:val="1"/>
      <w:marLeft w:val="0"/>
      <w:marRight w:val="0"/>
      <w:marTop w:val="0"/>
      <w:marBottom w:val="0"/>
      <w:divBdr>
        <w:top w:val="none" w:sz="0" w:space="0" w:color="auto"/>
        <w:left w:val="none" w:sz="0" w:space="0" w:color="auto"/>
        <w:bottom w:val="none" w:sz="0" w:space="0" w:color="auto"/>
        <w:right w:val="none" w:sz="0" w:space="0" w:color="auto"/>
      </w:divBdr>
    </w:div>
    <w:div w:id="1347708174">
      <w:bodyDiv w:val="1"/>
      <w:marLeft w:val="0"/>
      <w:marRight w:val="0"/>
      <w:marTop w:val="0"/>
      <w:marBottom w:val="0"/>
      <w:divBdr>
        <w:top w:val="none" w:sz="0" w:space="0" w:color="auto"/>
        <w:left w:val="none" w:sz="0" w:space="0" w:color="auto"/>
        <w:bottom w:val="none" w:sz="0" w:space="0" w:color="auto"/>
        <w:right w:val="none" w:sz="0" w:space="0" w:color="auto"/>
      </w:divBdr>
    </w:div>
    <w:div w:id="1351881897">
      <w:bodyDiv w:val="1"/>
      <w:marLeft w:val="0"/>
      <w:marRight w:val="0"/>
      <w:marTop w:val="0"/>
      <w:marBottom w:val="0"/>
      <w:divBdr>
        <w:top w:val="none" w:sz="0" w:space="0" w:color="auto"/>
        <w:left w:val="none" w:sz="0" w:space="0" w:color="auto"/>
        <w:bottom w:val="none" w:sz="0" w:space="0" w:color="auto"/>
        <w:right w:val="none" w:sz="0" w:space="0" w:color="auto"/>
      </w:divBdr>
    </w:div>
    <w:div w:id="1362438954">
      <w:bodyDiv w:val="1"/>
      <w:marLeft w:val="0"/>
      <w:marRight w:val="0"/>
      <w:marTop w:val="0"/>
      <w:marBottom w:val="0"/>
      <w:divBdr>
        <w:top w:val="none" w:sz="0" w:space="0" w:color="auto"/>
        <w:left w:val="none" w:sz="0" w:space="0" w:color="auto"/>
        <w:bottom w:val="none" w:sz="0" w:space="0" w:color="auto"/>
        <w:right w:val="none" w:sz="0" w:space="0" w:color="auto"/>
      </w:divBdr>
    </w:div>
    <w:div w:id="1370449173">
      <w:bodyDiv w:val="1"/>
      <w:marLeft w:val="0"/>
      <w:marRight w:val="0"/>
      <w:marTop w:val="0"/>
      <w:marBottom w:val="0"/>
      <w:divBdr>
        <w:top w:val="none" w:sz="0" w:space="0" w:color="auto"/>
        <w:left w:val="none" w:sz="0" w:space="0" w:color="auto"/>
        <w:bottom w:val="none" w:sz="0" w:space="0" w:color="auto"/>
        <w:right w:val="none" w:sz="0" w:space="0" w:color="auto"/>
      </w:divBdr>
    </w:div>
    <w:div w:id="1377126557">
      <w:bodyDiv w:val="1"/>
      <w:marLeft w:val="0"/>
      <w:marRight w:val="0"/>
      <w:marTop w:val="0"/>
      <w:marBottom w:val="0"/>
      <w:divBdr>
        <w:top w:val="none" w:sz="0" w:space="0" w:color="auto"/>
        <w:left w:val="none" w:sz="0" w:space="0" w:color="auto"/>
        <w:bottom w:val="none" w:sz="0" w:space="0" w:color="auto"/>
        <w:right w:val="none" w:sz="0" w:space="0" w:color="auto"/>
      </w:divBdr>
    </w:div>
    <w:div w:id="1392194658">
      <w:bodyDiv w:val="1"/>
      <w:marLeft w:val="0"/>
      <w:marRight w:val="0"/>
      <w:marTop w:val="0"/>
      <w:marBottom w:val="0"/>
      <w:divBdr>
        <w:top w:val="none" w:sz="0" w:space="0" w:color="auto"/>
        <w:left w:val="none" w:sz="0" w:space="0" w:color="auto"/>
        <w:bottom w:val="none" w:sz="0" w:space="0" w:color="auto"/>
        <w:right w:val="none" w:sz="0" w:space="0" w:color="auto"/>
      </w:divBdr>
    </w:div>
    <w:div w:id="1402942944">
      <w:bodyDiv w:val="1"/>
      <w:marLeft w:val="0"/>
      <w:marRight w:val="0"/>
      <w:marTop w:val="0"/>
      <w:marBottom w:val="0"/>
      <w:divBdr>
        <w:top w:val="none" w:sz="0" w:space="0" w:color="auto"/>
        <w:left w:val="none" w:sz="0" w:space="0" w:color="auto"/>
        <w:bottom w:val="none" w:sz="0" w:space="0" w:color="auto"/>
        <w:right w:val="none" w:sz="0" w:space="0" w:color="auto"/>
      </w:divBdr>
    </w:div>
    <w:div w:id="1424188029">
      <w:bodyDiv w:val="1"/>
      <w:marLeft w:val="0"/>
      <w:marRight w:val="0"/>
      <w:marTop w:val="0"/>
      <w:marBottom w:val="0"/>
      <w:divBdr>
        <w:top w:val="none" w:sz="0" w:space="0" w:color="auto"/>
        <w:left w:val="none" w:sz="0" w:space="0" w:color="auto"/>
        <w:bottom w:val="none" w:sz="0" w:space="0" w:color="auto"/>
        <w:right w:val="none" w:sz="0" w:space="0" w:color="auto"/>
      </w:divBdr>
    </w:div>
    <w:div w:id="1424451406">
      <w:bodyDiv w:val="1"/>
      <w:marLeft w:val="0"/>
      <w:marRight w:val="0"/>
      <w:marTop w:val="0"/>
      <w:marBottom w:val="0"/>
      <w:divBdr>
        <w:top w:val="none" w:sz="0" w:space="0" w:color="auto"/>
        <w:left w:val="none" w:sz="0" w:space="0" w:color="auto"/>
        <w:bottom w:val="none" w:sz="0" w:space="0" w:color="auto"/>
        <w:right w:val="none" w:sz="0" w:space="0" w:color="auto"/>
      </w:divBdr>
    </w:div>
    <w:div w:id="1428848492">
      <w:bodyDiv w:val="1"/>
      <w:marLeft w:val="0"/>
      <w:marRight w:val="0"/>
      <w:marTop w:val="0"/>
      <w:marBottom w:val="0"/>
      <w:divBdr>
        <w:top w:val="none" w:sz="0" w:space="0" w:color="auto"/>
        <w:left w:val="none" w:sz="0" w:space="0" w:color="auto"/>
        <w:bottom w:val="none" w:sz="0" w:space="0" w:color="auto"/>
        <w:right w:val="none" w:sz="0" w:space="0" w:color="auto"/>
      </w:divBdr>
    </w:div>
    <w:div w:id="1437212658">
      <w:bodyDiv w:val="1"/>
      <w:marLeft w:val="0"/>
      <w:marRight w:val="0"/>
      <w:marTop w:val="0"/>
      <w:marBottom w:val="0"/>
      <w:divBdr>
        <w:top w:val="none" w:sz="0" w:space="0" w:color="auto"/>
        <w:left w:val="none" w:sz="0" w:space="0" w:color="auto"/>
        <w:bottom w:val="none" w:sz="0" w:space="0" w:color="auto"/>
        <w:right w:val="none" w:sz="0" w:space="0" w:color="auto"/>
      </w:divBdr>
    </w:div>
    <w:div w:id="1471822296">
      <w:bodyDiv w:val="1"/>
      <w:marLeft w:val="0"/>
      <w:marRight w:val="0"/>
      <w:marTop w:val="0"/>
      <w:marBottom w:val="0"/>
      <w:divBdr>
        <w:top w:val="none" w:sz="0" w:space="0" w:color="auto"/>
        <w:left w:val="none" w:sz="0" w:space="0" w:color="auto"/>
        <w:bottom w:val="none" w:sz="0" w:space="0" w:color="auto"/>
        <w:right w:val="none" w:sz="0" w:space="0" w:color="auto"/>
      </w:divBdr>
    </w:div>
    <w:div w:id="1479345872">
      <w:bodyDiv w:val="1"/>
      <w:marLeft w:val="0"/>
      <w:marRight w:val="0"/>
      <w:marTop w:val="0"/>
      <w:marBottom w:val="0"/>
      <w:divBdr>
        <w:top w:val="none" w:sz="0" w:space="0" w:color="auto"/>
        <w:left w:val="none" w:sz="0" w:space="0" w:color="auto"/>
        <w:bottom w:val="none" w:sz="0" w:space="0" w:color="auto"/>
        <w:right w:val="none" w:sz="0" w:space="0" w:color="auto"/>
      </w:divBdr>
    </w:div>
    <w:div w:id="1498231857">
      <w:bodyDiv w:val="1"/>
      <w:marLeft w:val="0"/>
      <w:marRight w:val="0"/>
      <w:marTop w:val="0"/>
      <w:marBottom w:val="0"/>
      <w:divBdr>
        <w:top w:val="none" w:sz="0" w:space="0" w:color="auto"/>
        <w:left w:val="none" w:sz="0" w:space="0" w:color="auto"/>
        <w:bottom w:val="none" w:sz="0" w:space="0" w:color="auto"/>
        <w:right w:val="none" w:sz="0" w:space="0" w:color="auto"/>
      </w:divBdr>
    </w:div>
    <w:div w:id="1518273284">
      <w:bodyDiv w:val="1"/>
      <w:marLeft w:val="0"/>
      <w:marRight w:val="0"/>
      <w:marTop w:val="0"/>
      <w:marBottom w:val="0"/>
      <w:divBdr>
        <w:top w:val="none" w:sz="0" w:space="0" w:color="auto"/>
        <w:left w:val="none" w:sz="0" w:space="0" w:color="auto"/>
        <w:bottom w:val="none" w:sz="0" w:space="0" w:color="auto"/>
        <w:right w:val="none" w:sz="0" w:space="0" w:color="auto"/>
      </w:divBdr>
    </w:div>
    <w:div w:id="1564440288">
      <w:bodyDiv w:val="1"/>
      <w:marLeft w:val="0"/>
      <w:marRight w:val="0"/>
      <w:marTop w:val="0"/>
      <w:marBottom w:val="0"/>
      <w:divBdr>
        <w:top w:val="none" w:sz="0" w:space="0" w:color="auto"/>
        <w:left w:val="none" w:sz="0" w:space="0" w:color="auto"/>
        <w:bottom w:val="none" w:sz="0" w:space="0" w:color="auto"/>
        <w:right w:val="none" w:sz="0" w:space="0" w:color="auto"/>
      </w:divBdr>
    </w:div>
    <w:div w:id="1564948660">
      <w:bodyDiv w:val="1"/>
      <w:marLeft w:val="0"/>
      <w:marRight w:val="0"/>
      <w:marTop w:val="0"/>
      <w:marBottom w:val="0"/>
      <w:divBdr>
        <w:top w:val="none" w:sz="0" w:space="0" w:color="auto"/>
        <w:left w:val="none" w:sz="0" w:space="0" w:color="auto"/>
        <w:bottom w:val="none" w:sz="0" w:space="0" w:color="auto"/>
        <w:right w:val="none" w:sz="0" w:space="0" w:color="auto"/>
      </w:divBdr>
    </w:div>
    <w:div w:id="1589727027">
      <w:bodyDiv w:val="1"/>
      <w:marLeft w:val="0"/>
      <w:marRight w:val="0"/>
      <w:marTop w:val="0"/>
      <w:marBottom w:val="0"/>
      <w:divBdr>
        <w:top w:val="none" w:sz="0" w:space="0" w:color="auto"/>
        <w:left w:val="none" w:sz="0" w:space="0" w:color="auto"/>
        <w:bottom w:val="none" w:sz="0" w:space="0" w:color="auto"/>
        <w:right w:val="none" w:sz="0" w:space="0" w:color="auto"/>
      </w:divBdr>
    </w:div>
    <w:div w:id="1612786707">
      <w:bodyDiv w:val="1"/>
      <w:marLeft w:val="0"/>
      <w:marRight w:val="0"/>
      <w:marTop w:val="0"/>
      <w:marBottom w:val="0"/>
      <w:divBdr>
        <w:top w:val="none" w:sz="0" w:space="0" w:color="auto"/>
        <w:left w:val="none" w:sz="0" w:space="0" w:color="auto"/>
        <w:bottom w:val="none" w:sz="0" w:space="0" w:color="auto"/>
        <w:right w:val="none" w:sz="0" w:space="0" w:color="auto"/>
      </w:divBdr>
    </w:div>
    <w:div w:id="1620336734">
      <w:bodyDiv w:val="1"/>
      <w:marLeft w:val="0"/>
      <w:marRight w:val="0"/>
      <w:marTop w:val="0"/>
      <w:marBottom w:val="0"/>
      <w:divBdr>
        <w:top w:val="none" w:sz="0" w:space="0" w:color="auto"/>
        <w:left w:val="none" w:sz="0" w:space="0" w:color="auto"/>
        <w:bottom w:val="none" w:sz="0" w:space="0" w:color="auto"/>
        <w:right w:val="none" w:sz="0" w:space="0" w:color="auto"/>
      </w:divBdr>
    </w:div>
    <w:div w:id="1623875038">
      <w:bodyDiv w:val="1"/>
      <w:marLeft w:val="0"/>
      <w:marRight w:val="0"/>
      <w:marTop w:val="0"/>
      <w:marBottom w:val="0"/>
      <w:divBdr>
        <w:top w:val="none" w:sz="0" w:space="0" w:color="auto"/>
        <w:left w:val="none" w:sz="0" w:space="0" w:color="auto"/>
        <w:bottom w:val="none" w:sz="0" w:space="0" w:color="auto"/>
        <w:right w:val="none" w:sz="0" w:space="0" w:color="auto"/>
      </w:divBdr>
    </w:div>
    <w:div w:id="1626614491">
      <w:bodyDiv w:val="1"/>
      <w:marLeft w:val="0"/>
      <w:marRight w:val="0"/>
      <w:marTop w:val="0"/>
      <w:marBottom w:val="0"/>
      <w:divBdr>
        <w:top w:val="none" w:sz="0" w:space="0" w:color="auto"/>
        <w:left w:val="none" w:sz="0" w:space="0" w:color="auto"/>
        <w:bottom w:val="none" w:sz="0" w:space="0" w:color="auto"/>
        <w:right w:val="none" w:sz="0" w:space="0" w:color="auto"/>
      </w:divBdr>
    </w:div>
    <w:div w:id="1627815376">
      <w:bodyDiv w:val="1"/>
      <w:marLeft w:val="0"/>
      <w:marRight w:val="0"/>
      <w:marTop w:val="0"/>
      <w:marBottom w:val="0"/>
      <w:divBdr>
        <w:top w:val="none" w:sz="0" w:space="0" w:color="auto"/>
        <w:left w:val="none" w:sz="0" w:space="0" w:color="auto"/>
        <w:bottom w:val="none" w:sz="0" w:space="0" w:color="auto"/>
        <w:right w:val="none" w:sz="0" w:space="0" w:color="auto"/>
      </w:divBdr>
    </w:div>
    <w:div w:id="1638800133">
      <w:bodyDiv w:val="1"/>
      <w:marLeft w:val="0"/>
      <w:marRight w:val="0"/>
      <w:marTop w:val="0"/>
      <w:marBottom w:val="0"/>
      <w:divBdr>
        <w:top w:val="none" w:sz="0" w:space="0" w:color="auto"/>
        <w:left w:val="none" w:sz="0" w:space="0" w:color="auto"/>
        <w:bottom w:val="none" w:sz="0" w:space="0" w:color="auto"/>
        <w:right w:val="none" w:sz="0" w:space="0" w:color="auto"/>
      </w:divBdr>
    </w:div>
    <w:div w:id="1640184772">
      <w:bodyDiv w:val="1"/>
      <w:marLeft w:val="0"/>
      <w:marRight w:val="0"/>
      <w:marTop w:val="0"/>
      <w:marBottom w:val="0"/>
      <w:divBdr>
        <w:top w:val="none" w:sz="0" w:space="0" w:color="auto"/>
        <w:left w:val="none" w:sz="0" w:space="0" w:color="auto"/>
        <w:bottom w:val="none" w:sz="0" w:space="0" w:color="auto"/>
        <w:right w:val="none" w:sz="0" w:space="0" w:color="auto"/>
      </w:divBdr>
    </w:div>
    <w:div w:id="1685742783">
      <w:bodyDiv w:val="1"/>
      <w:marLeft w:val="0"/>
      <w:marRight w:val="0"/>
      <w:marTop w:val="0"/>
      <w:marBottom w:val="0"/>
      <w:divBdr>
        <w:top w:val="none" w:sz="0" w:space="0" w:color="auto"/>
        <w:left w:val="none" w:sz="0" w:space="0" w:color="auto"/>
        <w:bottom w:val="none" w:sz="0" w:space="0" w:color="auto"/>
        <w:right w:val="none" w:sz="0" w:space="0" w:color="auto"/>
      </w:divBdr>
    </w:div>
    <w:div w:id="1690453417">
      <w:bodyDiv w:val="1"/>
      <w:marLeft w:val="0"/>
      <w:marRight w:val="0"/>
      <w:marTop w:val="0"/>
      <w:marBottom w:val="0"/>
      <w:divBdr>
        <w:top w:val="none" w:sz="0" w:space="0" w:color="auto"/>
        <w:left w:val="none" w:sz="0" w:space="0" w:color="auto"/>
        <w:bottom w:val="none" w:sz="0" w:space="0" w:color="auto"/>
        <w:right w:val="none" w:sz="0" w:space="0" w:color="auto"/>
      </w:divBdr>
    </w:div>
    <w:div w:id="1699162755">
      <w:bodyDiv w:val="1"/>
      <w:marLeft w:val="0"/>
      <w:marRight w:val="0"/>
      <w:marTop w:val="0"/>
      <w:marBottom w:val="0"/>
      <w:divBdr>
        <w:top w:val="none" w:sz="0" w:space="0" w:color="auto"/>
        <w:left w:val="none" w:sz="0" w:space="0" w:color="auto"/>
        <w:bottom w:val="none" w:sz="0" w:space="0" w:color="auto"/>
        <w:right w:val="none" w:sz="0" w:space="0" w:color="auto"/>
      </w:divBdr>
    </w:div>
    <w:div w:id="1702319058">
      <w:bodyDiv w:val="1"/>
      <w:marLeft w:val="0"/>
      <w:marRight w:val="0"/>
      <w:marTop w:val="0"/>
      <w:marBottom w:val="0"/>
      <w:divBdr>
        <w:top w:val="none" w:sz="0" w:space="0" w:color="auto"/>
        <w:left w:val="none" w:sz="0" w:space="0" w:color="auto"/>
        <w:bottom w:val="none" w:sz="0" w:space="0" w:color="auto"/>
        <w:right w:val="none" w:sz="0" w:space="0" w:color="auto"/>
      </w:divBdr>
    </w:div>
    <w:div w:id="1710956019">
      <w:bodyDiv w:val="1"/>
      <w:marLeft w:val="0"/>
      <w:marRight w:val="0"/>
      <w:marTop w:val="0"/>
      <w:marBottom w:val="0"/>
      <w:divBdr>
        <w:top w:val="none" w:sz="0" w:space="0" w:color="auto"/>
        <w:left w:val="none" w:sz="0" w:space="0" w:color="auto"/>
        <w:bottom w:val="none" w:sz="0" w:space="0" w:color="auto"/>
        <w:right w:val="none" w:sz="0" w:space="0" w:color="auto"/>
      </w:divBdr>
    </w:div>
    <w:div w:id="1734346852">
      <w:bodyDiv w:val="1"/>
      <w:marLeft w:val="0"/>
      <w:marRight w:val="0"/>
      <w:marTop w:val="0"/>
      <w:marBottom w:val="0"/>
      <w:divBdr>
        <w:top w:val="none" w:sz="0" w:space="0" w:color="auto"/>
        <w:left w:val="none" w:sz="0" w:space="0" w:color="auto"/>
        <w:bottom w:val="none" w:sz="0" w:space="0" w:color="auto"/>
        <w:right w:val="none" w:sz="0" w:space="0" w:color="auto"/>
      </w:divBdr>
    </w:div>
    <w:div w:id="1735472946">
      <w:bodyDiv w:val="1"/>
      <w:marLeft w:val="0"/>
      <w:marRight w:val="0"/>
      <w:marTop w:val="0"/>
      <w:marBottom w:val="0"/>
      <w:divBdr>
        <w:top w:val="none" w:sz="0" w:space="0" w:color="auto"/>
        <w:left w:val="none" w:sz="0" w:space="0" w:color="auto"/>
        <w:bottom w:val="none" w:sz="0" w:space="0" w:color="auto"/>
        <w:right w:val="none" w:sz="0" w:space="0" w:color="auto"/>
      </w:divBdr>
    </w:div>
    <w:div w:id="1739475034">
      <w:bodyDiv w:val="1"/>
      <w:marLeft w:val="0"/>
      <w:marRight w:val="0"/>
      <w:marTop w:val="0"/>
      <w:marBottom w:val="0"/>
      <w:divBdr>
        <w:top w:val="none" w:sz="0" w:space="0" w:color="auto"/>
        <w:left w:val="none" w:sz="0" w:space="0" w:color="auto"/>
        <w:bottom w:val="none" w:sz="0" w:space="0" w:color="auto"/>
        <w:right w:val="none" w:sz="0" w:space="0" w:color="auto"/>
      </w:divBdr>
    </w:div>
    <w:div w:id="1741050513">
      <w:bodyDiv w:val="1"/>
      <w:marLeft w:val="0"/>
      <w:marRight w:val="0"/>
      <w:marTop w:val="0"/>
      <w:marBottom w:val="0"/>
      <w:divBdr>
        <w:top w:val="none" w:sz="0" w:space="0" w:color="auto"/>
        <w:left w:val="none" w:sz="0" w:space="0" w:color="auto"/>
        <w:bottom w:val="none" w:sz="0" w:space="0" w:color="auto"/>
        <w:right w:val="none" w:sz="0" w:space="0" w:color="auto"/>
      </w:divBdr>
    </w:div>
    <w:div w:id="1745839896">
      <w:bodyDiv w:val="1"/>
      <w:marLeft w:val="0"/>
      <w:marRight w:val="0"/>
      <w:marTop w:val="0"/>
      <w:marBottom w:val="0"/>
      <w:divBdr>
        <w:top w:val="none" w:sz="0" w:space="0" w:color="auto"/>
        <w:left w:val="none" w:sz="0" w:space="0" w:color="auto"/>
        <w:bottom w:val="none" w:sz="0" w:space="0" w:color="auto"/>
        <w:right w:val="none" w:sz="0" w:space="0" w:color="auto"/>
      </w:divBdr>
    </w:div>
    <w:div w:id="1754357591">
      <w:bodyDiv w:val="1"/>
      <w:marLeft w:val="0"/>
      <w:marRight w:val="0"/>
      <w:marTop w:val="0"/>
      <w:marBottom w:val="0"/>
      <w:divBdr>
        <w:top w:val="none" w:sz="0" w:space="0" w:color="auto"/>
        <w:left w:val="none" w:sz="0" w:space="0" w:color="auto"/>
        <w:bottom w:val="none" w:sz="0" w:space="0" w:color="auto"/>
        <w:right w:val="none" w:sz="0" w:space="0" w:color="auto"/>
      </w:divBdr>
    </w:div>
    <w:div w:id="1780560332">
      <w:bodyDiv w:val="1"/>
      <w:marLeft w:val="0"/>
      <w:marRight w:val="0"/>
      <w:marTop w:val="0"/>
      <w:marBottom w:val="0"/>
      <w:divBdr>
        <w:top w:val="none" w:sz="0" w:space="0" w:color="auto"/>
        <w:left w:val="none" w:sz="0" w:space="0" w:color="auto"/>
        <w:bottom w:val="none" w:sz="0" w:space="0" w:color="auto"/>
        <w:right w:val="none" w:sz="0" w:space="0" w:color="auto"/>
      </w:divBdr>
    </w:div>
    <w:div w:id="1789740226">
      <w:bodyDiv w:val="1"/>
      <w:marLeft w:val="0"/>
      <w:marRight w:val="0"/>
      <w:marTop w:val="0"/>
      <w:marBottom w:val="0"/>
      <w:divBdr>
        <w:top w:val="none" w:sz="0" w:space="0" w:color="auto"/>
        <w:left w:val="none" w:sz="0" w:space="0" w:color="auto"/>
        <w:bottom w:val="none" w:sz="0" w:space="0" w:color="auto"/>
        <w:right w:val="none" w:sz="0" w:space="0" w:color="auto"/>
      </w:divBdr>
    </w:div>
    <w:div w:id="1796288357">
      <w:bodyDiv w:val="1"/>
      <w:marLeft w:val="0"/>
      <w:marRight w:val="0"/>
      <w:marTop w:val="0"/>
      <w:marBottom w:val="0"/>
      <w:divBdr>
        <w:top w:val="none" w:sz="0" w:space="0" w:color="auto"/>
        <w:left w:val="none" w:sz="0" w:space="0" w:color="auto"/>
        <w:bottom w:val="none" w:sz="0" w:space="0" w:color="auto"/>
        <w:right w:val="none" w:sz="0" w:space="0" w:color="auto"/>
      </w:divBdr>
    </w:div>
    <w:div w:id="1823042152">
      <w:bodyDiv w:val="1"/>
      <w:marLeft w:val="0"/>
      <w:marRight w:val="0"/>
      <w:marTop w:val="0"/>
      <w:marBottom w:val="0"/>
      <w:divBdr>
        <w:top w:val="none" w:sz="0" w:space="0" w:color="auto"/>
        <w:left w:val="none" w:sz="0" w:space="0" w:color="auto"/>
        <w:bottom w:val="none" w:sz="0" w:space="0" w:color="auto"/>
        <w:right w:val="none" w:sz="0" w:space="0" w:color="auto"/>
      </w:divBdr>
    </w:div>
    <w:div w:id="1845585377">
      <w:bodyDiv w:val="1"/>
      <w:marLeft w:val="0"/>
      <w:marRight w:val="0"/>
      <w:marTop w:val="0"/>
      <w:marBottom w:val="0"/>
      <w:divBdr>
        <w:top w:val="none" w:sz="0" w:space="0" w:color="auto"/>
        <w:left w:val="none" w:sz="0" w:space="0" w:color="auto"/>
        <w:bottom w:val="none" w:sz="0" w:space="0" w:color="auto"/>
        <w:right w:val="none" w:sz="0" w:space="0" w:color="auto"/>
      </w:divBdr>
    </w:div>
    <w:div w:id="1846550219">
      <w:bodyDiv w:val="1"/>
      <w:marLeft w:val="0"/>
      <w:marRight w:val="0"/>
      <w:marTop w:val="0"/>
      <w:marBottom w:val="0"/>
      <w:divBdr>
        <w:top w:val="none" w:sz="0" w:space="0" w:color="auto"/>
        <w:left w:val="none" w:sz="0" w:space="0" w:color="auto"/>
        <w:bottom w:val="none" w:sz="0" w:space="0" w:color="auto"/>
        <w:right w:val="none" w:sz="0" w:space="0" w:color="auto"/>
      </w:divBdr>
    </w:div>
    <w:div w:id="1847359041">
      <w:bodyDiv w:val="1"/>
      <w:marLeft w:val="0"/>
      <w:marRight w:val="0"/>
      <w:marTop w:val="0"/>
      <w:marBottom w:val="0"/>
      <w:divBdr>
        <w:top w:val="none" w:sz="0" w:space="0" w:color="auto"/>
        <w:left w:val="none" w:sz="0" w:space="0" w:color="auto"/>
        <w:bottom w:val="none" w:sz="0" w:space="0" w:color="auto"/>
        <w:right w:val="none" w:sz="0" w:space="0" w:color="auto"/>
      </w:divBdr>
    </w:div>
    <w:div w:id="1853492554">
      <w:bodyDiv w:val="1"/>
      <w:marLeft w:val="0"/>
      <w:marRight w:val="0"/>
      <w:marTop w:val="0"/>
      <w:marBottom w:val="0"/>
      <w:divBdr>
        <w:top w:val="none" w:sz="0" w:space="0" w:color="auto"/>
        <w:left w:val="none" w:sz="0" w:space="0" w:color="auto"/>
        <w:bottom w:val="none" w:sz="0" w:space="0" w:color="auto"/>
        <w:right w:val="none" w:sz="0" w:space="0" w:color="auto"/>
      </w:divBdr>
    </w:div>
    <w:div w:id="1855074363">
      <w:bodyDiv w:val="1"/>
      <w:marLeft w:val="0"/>
      <w:marRight w:val="0"/>
      <w:marTop w:val="0"/>
      <w:marBottom w:val="0"/>
      <w:divBdr>
        <w:top w:val="none" w:sz="0" w:space="0" w:color="auto"/>
        <w:left w:val="none" w:sz="0" w:space="0" w:color="auto"/>
        <w:bottom w:val="none" w:sz="0" w:space="0" w:color="auto"/>
        <w:right w:val="none" w:sz="0" w:space="0" w:color="auto"/>
      </w:divBdr>
    </w:div>
    <w:div w:id="1886718062">
      <w:bodyDiv w:val="1"/>
      <w:marLeft w:val="0"/>
      <w:marRight w:val="0"/>
      <w:marTop w:val="0"/>
      <w:marBottom w:val="0"/>
      <w:divBdr>
        <w:top w:val="none" w:sz="0" w:space="0" w:color="auto"/>
        <w:left w:val="none" w:sz="0" w:space="0" w:color="auto"/>
        <w:bottom w:val="none" w:sz="0" w:space="0" w:color="auto"/>
        <w:right w:val="none" w:sz="0" w:space="0" w:color="auto"/>
      </w:divBdr>
    </w:div>
    <w:div w:id="1913930596">
      <w:bodyDiv w:val="1"/>
      <w:marLeft w:val="0"/>
      <w:marRight w:val="0"/>
      <w:marTop w:val="0"/>
      <w:marBottom w:val="0"/>
      <w:divBdr>
        <w:top w:val="none" w:sz="0" w:space="0" w:color="auto"/>
        <w:left w:val="none" w:sz="0" w:space="0" w:color="auto"/>
        <w:bottom w:val="none" w:sz="0" w:space="0" w:color="auto"/>
        <w:right w:val="none" w:sz="0" w:space="0" w:color="auto"/>
      </w:divBdr>
    </w:div>
    <w:div w:id="1921209219">
      <w:bodyDiv w:val="1"/>
      <w:marLeft w:val="0"/>
      <w:marRight w:val="0"/>
      <w:marTop w:val="0"/>
      <w:marBottom w:val="0"/>
      <w:divBdr>
        <w:top w:val="none" w:sz="0" w:space="0" w:color="auto"/>
        <w:left w:val="none" w:sz="0" w:space="0" w:color="auto"/>
        <w:bottom w:val="none" w:sz="0" w:space="0" w:color="auto"/>
        <w:right w:val="none" w:sz="0" w:space="0" w:color="auto"/>
      </w:divBdr>
    </w:div>
    <w:div w:id="1939170183">
      <w:bodyDiv w:val="1"/>
      <w:marLeft w:val="0"/>
      <w:marRight w:val="0"/>
      <w:marTop w:val="0"/>
      <w:marBottom w:val="0"/>
      <w:divBdr>
        <w:top w:val="none" w:sz="0" w:space="0" w:color="auto"/>
        <w:left w:val="none" w:sz="0" w:space="0" w:color="auto"/>
        <w:bottom w:val="none" w:sz="0" w:space="0" w:color="auto"/>
        <w:right w:val="none" w:sz="0" w:space="0" w:color="auto"/>
      </w:divBdr>
    </w:div>
    <w:div w:id="2005470946">
      <w:bodyDiv w:val="1"/>
      <w:marLeft w:val="0"/>
      <w:marRight w:val="0"/>
      <w:marTop w:val="0"/>
      <w:marBottom w:val="0"/>
      <w:divBdr>
        <w:top w:val="none" w:sz="0" w:space="0" w:color="auto"/>
        <w:left w:val="none" w:sz="0" w:space="0" w:color="auto"/>
        <w:bottom w:val="none" w:sz="0" w:space="0" w:color="auto"/>
        <w:right w:val="none" w:sz="0" w:space="0" w:color="auto"/>
      </w:divBdr>
    </w:div>
    <w:div w:id="2016105997">
      <w:bodyDiv w:val="1"/>
      <w:marLeft w:val="0"/>
      <w:marRight w:val="0"/>
      <w:marTop w:val="0"/>
      <w:marBottom w:val="0"/>
      <w:divBdr>
        <w:top w:val="none" w:sz="0" w:space="0" w:color="auto"/>
        <w:left w:val="none" w:sz="0" w:space="0" w:color="auto"/>
        <w:bottom w:val="none" w:sz="0" w:space="0" w:color="auto"/>
        <w:right w:val="none" w:sz="0" w:space="0" w:color="auto"/>
      </w:divBdr>
    </w:div>
    <w:div w:id="2030450366">
      <w:bodyDiv w:val="1"/>
      <w:marLeft w:val="0"/>
      <w:marRight w:val="0"/>
      <w:marTop w:val="0"/>
      <w:marBottom w:val="0"/>
      <w:divBdr>
        <w:top w:val="none" w:sz="0" w:space="0" w:color="auto"/>
        <w:left w:val="none" w:sz="0" w:space="0" w:color="auto"/>
        <w:bottom w:val="none" w:sz="0" w:space="0" w:color="auto"/>
        <w:right w:val="none" w:sz="0" w:space="0" w:color="auto"/>
      </w:divBdr>
    </w:div>
    <w:div w:id="2030711815">
      <w:bodyDiv w:val="1"/>
      <w:marLeft w:val="0"/>
      <w:marRight w:val="0"/>
      <w:marTop w:val="0"/>
      <w:marBottom w:val="0"/>
      <w:divBdr>
        <w:top w:val="none" w:sz="0" w:space="0" w:color="auto"/>
        <w:left w:val="none" w:sz="0" w:space="0" w:color="auto"/>
        <w:bottom w:val="none" w:sz="0" w:space="0" w:color="auto"/>
        <w:right w:val="none" w:sz="0" w:space="0" w:color="auto"/>
      </w:divBdr>
    </w:div>
    <w:div w:id="2031948730">
      <w:bodyDiv w:val="1"/>
      <w:marLeft w:val="0"/>
      <w:marRight w:val="0"/>
      <w:marTop w:val="0"/>
      <w:marBottom w:val="0"/>
      <w:divBdr>
        <w:top w:val="none" w:sz="0" w:space="0" w:color="auto"/>
        <w:left w:val="none" w:sz="0" w:space="0" w:color="auto"/>
        <w:bottom w:val="none" w:sz="0" w:space="0" w:color="auto"/>
        <w:right w:val="none" w:sz="0" w:space="0" w:color="auto"/>
      </w:divBdr>
    </w:div>
    <w:div w:id="2042970898">
      <w:bodyDiv w:val="1"/>
      <w:marLeft w:val="0"/>
      <w:marRight w:val="0"/>
      <w:marTop w:val="0"/>
      <w:marBottom w:val="0"/>
      <w:divBdr>
        <w:top w:val="none" w:sz="0" w:space="0" w:color="auto"/>
        <w:left w:val="none" w:sz="0" w:space="0" w:color="auto"/>
        <w:bottom w:val="none" w:sz="0" w:space="0" w:color="auto"/>
        <w:right w:val="none" w:sz="0" w:space="0" w:color="auto"/>
      </w:divBdr>
    </w:div>
    <w:div w:id="2052413030">
      <w:bodyDiv w:val="1"/>
      <w:marLeft w:val="0"/>
      <w:marRight w:val="0"/>
      <w:marTop w:val="0"/>
      <w:marBottom w:val="0"/>
      <w:divBdr>
        <w:top w:val="none" w:sz="0" w:space="0" w:color="auto"/>
        <w:left w:val="none" w:sz="0" w:space="0" w:color="auto"/>
        <w:bottom w:val="none" w:sz="0" w:space="0" w:color="auto"/>
        <w:right w:val="none" w:sz="0" w:space="0" w:color="auto"/>
      </w:divBdr>
    </w:div>
    <w:div w:id="2125272934">
      <w:bodyDiv w:val="1"/>
      <w:marLeft w:val="0"/>
      <w:marRight w:val="0"/>
      <w:marTop w:val="0"/>
      <w:marBottom w:val="0"/>
      <w:divBdr>
        <w:top w:val="none" w:sz="0" w:space="0" w:color="auto"/>
        <w:left w:val="none" w:sz="0" w:space="0" w:color="auto"/>
        <w:bottom w:val="none" w:sz="0" w:space="0" w:color="auto"/>
        <w:right w:val="none" w:sz="0" w:space="0" w:color="auto"/>
      </w:divBdr>
    </w:div>
    <w:div w:id="213602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royectoinma.org/presentacioninma/listado-investigadores/en_listado-investigadores.htm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yectoinma.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riesepigenomics.org.uk"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hyperlink" Target="http://www.bris.ac.uk/alspac/researchers/data-access/data-dictionary/" TargetMode="External"/><Relationship Id="rId4" Type="http://schemas.openxmlformats.org/officeDocument/2006/relationships/customXml" Target="../customXml/item4.xml"/><Relationship Id="rId9" Type="http://schemas.openxmlformats.org/officeDocument/2006/relationships/hyperlink" Target="mailto:Sylvain.Sebert@oulu.fi" TargetMode="External"/><Relationship Id="rId14" Type="http://schemas.openxmlformats.org/officeDocument/2006/relationships/hyperlink" Target="http://www.cmmt.ubc.c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FFE4DB062F1A34083F18B11F8202C71" ma:contentTypeVersion="12" ma:contentTypeDescription="Create a new document." ma:contentTypeScope="" ma:versionID="de3b5617d13ab92fadbb9e58a1aff5d9">
  <xsd:schema xmlns:xsd="http://www.w3.org/2001/XMLSchema" xmlns:xs="http://www.w3.org/2001/XMLSchema" xmlns:p="http://schemas.microsoft.com/office/2006/metadata/properties" xmlns:ns3="86360b87-ff9f-4e82-af65-c0f16d6902ce" xmlns:ns4="34edada0-4c4d-4329-b04e-567a1658f025" targetNamespace="http://schemas.microsoft.com/office/2006/metadata/properties" ma:root="true" ma:fieldsID="b3912b6bf04de3b2afd2524be89b366b" ns3:_="" ns4:_="">
    <xsd:import namespace="86360b87-ff9f-4e82-af65-c0f16d6902ce"/>
    <xsd:import namespace="34edada0-4c4d-4329-b04e-567a1658f02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360b87-ff9f-4e82-af65-c0f16d6902c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edada0-4c4d-4329-b04e-567a1658f02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1D9027-6D08-4759-96F3-BD0CCCD9413F}">
  <ds:schemaRefs>
    <ds:schemaRef ds:uri="http://purl.org/dc/elements/1.1/"/>
    <ds:schemaRef ds:uri="http://schemas.microsoft.com/office/2006/metadata/properties"/>
    <ds:schemaRef ds:uri="http://purl.org/dc/terms/"/>
    <ds:schemaRef ds:uri="http://schemas.openxmlformats.org/package/2006/metadata/core-properties"/>
    <ds:schemaRef ds:uri="86360b87-ff9f-4e82-af65-c0f16d6902ce"/>
    <ds:schemaRef ds:uri="http://schemas.microsoft.com/office/2006/documentManagement/types"/>
    <ds:schemaRef ds:uri="34edada0-4c4d-4329-b04e-567a1658f025"/>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37BD834B-4DBD-4CBE-9C68-D182936B3377}">
  <ds:schemaRefs>
    <ds:schemaRef ds:uri="http://schemas.microsoft.com/sharepoint/v3/contenttype/forms"/>
  </ds:schemaRefs>
</ds:datastoreItem>
</file>

<file path=customXml/itemProps3.xml><?xml version="1.0" encoding="utf-8"?>
<ds:datastoreItem xmlns:ds="http://schemas.openxmlformats.org/officeDocument/2006/customXml" ds:itemID="{B5089AD9-1B22-4304-8E92-F8BBB15808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360b87-ff9f-4e82-af65-c0f16d6902ce"/>
    <ds:schemaRef ds:uri="34edada0-4c4d-4329-b04e-567a1658f0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37B530-C5E2-46FE-A9BC-43251C477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35717</Words>
  <Characters>203587</Characters>
  <Application>Microsoft Office Word</Application>
  <DocSecurity>0</DocSecurity>
  <Lines>1696</Lines>
  <Paragraphs>477</Paragraphs>
  <ScaleCrop>false</ScaleCrop>
  <HeadingPairs>
    <vt:vector size="2" baseType="variant">
      <vt:variant>
        <vt:lpstr>Title</vt:lpstr>
      </vt:variant>
      <vt:variant>
        <vt:i4>1</vt:i4>
      </vt:variant>
    </vt:vector>
  </HeadingPairs>
  <TitlesOfParts>
    <vt:vector size="1" baseType="lpstr">
      <vt:lpstr>_</vt:lpstr>
    </vt:vector>
  </TitlesOfParts>
  <Company/>
  <LinksUpToDate>false</LinksUpToDate>
  <CharactersWithSpaces>238827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subject/>
  <dc:creator>Justiina Ronkainen</dc:creator>
  <cp:keywords/>
  <dc:description/>
  <cp:lastModifiedBy>Justiina Ronkainen</cp:lastModifiedBy>
  <cp:revision>4</cp:revision>
  <cp:lastPrinted>2019-07-08T09:54:00Z</cp:lastPrinted>
  <dcterms:created xsi:type="dcterms:W3CDTF">2020-06-22T12:56:00Z</dcterms:created>
  <dcterms:modified xsi:type="dcterms:W3CDTF">2020-09-07T07:18:00Z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nCUserId">
    <vt:lpwstr>user:5d131a7be4b0934f15345547</vt:lpwstr>
  </property>
  <property fmtid="{D5CDD505-2E9C-101B-9397-08002B2CF9AE}" pid="3" name="WnCSubscriberId">
    <vt:lpwstr>0</vt:lpwstr>
  </property>
  <property fmtid="{D5CDD505-2E9C-101B-9397-08002B2CF9AE}" pid="4" name="WnCOutputStyleId">
    <vt:lpwstr>219</vt:lpwstr>
  </property>
  <property fmtid="{D5CDD505-2E9C-101B-9397-08002B2CF9AE}" pid="5" name="RWProductId">
    <vt:lpwstr>Flow</vt:lpwstr>
  </property>
  <property fmtid="{D5CDD505-2E9C-101B-9397-08002B2CF9AE}" pid="6" name="WnC4Folder">
    <vt:lpwstr/>
  </property>
  <property fmtid="{D5CDD505-2E9C-101B-9397-08002B2CF9AE}" pid="7" name="ContentTypeId">
    <vt:lpwstr>0x010100CFFE4DB062F1A34083F18B11F8202C71</vt:lpwstr>
  </property>
  <property fmtid="{D5CDD505-2E9C-101B-9397-08002B2CF9AE}" pid="8" name="Mendeley Document_1">
    <vt:lpwstr>True</vt:lpwstr>
  </property>
  <property fmtid="{D5CDD505-2E9C-101B-9397-08002B2CF9AE}" pid="9" name="Mendeley Unique User Id_1">
    <vt:lpwstr>43a7daad-760d-3a3b-affe-b82fd85269ce</vt:lpwstr>
  </property>
  <property fmtid="{D5CDD505-2E9C-101B-9397-08002B2CF9AE}" pid="10" name="Mendeley Citation Style_1">
    <vt:lpwstr>http://www.zotero.org/styles/human-molecular-genetics</vt:lpwstr>
  </property>
  <property fmtid="{D5CDD505-2E9C-101B-9397-08002B2CF9AE}" pid="11" name="Mendeley Recent Style Id 0_1">
    <vt:lpwstr>http://www.zotero.org/styles/american-medical-association</vt:lpwstr>
  </property>
  <property fmtid="{D5CDD505-2E9C-101B-9397-08002B2CF9AE}" pid="12" name="Mendeley Recent Style Name 0_1">
    <vt:lpwstr>American Medical Association</vt:lpwstr>
  </property>
  <property fmtid="{D5CDD505-2E9C-101B-9397-08002B2CF9AE}" pid="13" name="Mendeley Recent Style Id 1_1">
    <vt:lpwstr>http://www.zotero.org/styles/american-political-science-association</vt:lpwstr>
  </property>
  <property fmtid="{D5CDD505-2E9C-101B-9397-08002B2CF9AE}" pid="14" name="Mendeley Recent Style Name 1_1">
    <vt:lpwstr>American Political Science Association</vt:lpwstr>
  </property>
  <property fmtid="{D5CDD505-2E9C-101B-9397-08002B2CF9AE}" pid="15" name="Mendeley Recent Style Id 2_1">
    <vt:lpwstr>http://www.zotero.org/styles/apa</vt:lpwstr>
  </property>
  <property fmtid="{D5CDD505-2E9C-101B-9397-08002B2CF9AE}" pid="16" name="Mendeley Recent Style Name 2_1">
    <vt:lpwstr>American Psychological Association 6th edition</vt:lpwstr>
  </property>
  <property fmtid="{D5CDD505-2E9C-101B-9397-08002B2CF9AE}" pid="17" name="Mendeley Recent Style Id 3_1">
    <vt:lpwstr>http://www.zotero.org/styles/american-sociological-association</vt:lpwstr>
  </property>
  <property fmtid="{D5CDD505-2E9C-101B-9397-08002B2CF9AE}" pid="18" name="Mendeley Recent Style Name 3_1">
    <vt:lpwstr>American Sociological Association</vt:lpwstr>
  </property>
  <property fmtid="{D5CDD505-2E9C-101B-9397-08002B2CF9AE}" pid="19" name="Mendeley Recent Style Id 4_1">
    <vt:lpwstr>http://www.zotero.org/styles/chicago-author-date</vt:lpwstr>
  </property>
  <property fmtid="{D5CDD505-2E9C-101B-9397-08002B2CF9AE}" pid="20" name="Mendeley Recent Style Name 4_1">
    <vt:lpwstr>Chicago Manual of Style 17th edition (author-date)</vt:lpwstr>
  </property>
  <property fmtid="{D5CDD505-2E9C-101B-9397-08002B2CF9AE}" pid="21" name="Mendeley Recent Style Id 5_1">
    <vt:lpwstr>http://www.zotero.org/styles/harvard-cite-them-right</vt:lpwstr>
  </property>
  <property fmtid="{D5CDD505-2E9C-101B-9397-08002B2CF9AE}" pid="22" name="Mendeley Recent Style Name 5_1">
    <vt:lpwstr>Cite Them Right 10th edition - Harvard</vt:lpwstr>
  </property>
  <property fmtid="{D5CDD505-2E9C-101B-9397-08002B2CF9AE}" pid="23" name="Mendeley Recent Style Id 6_1">
    <vt:lpwstr>http://www.zotero.org/styles/human-molecular-genetics</vt:lpwstr>
  </property>
  <property fmtid="{D5CDD505-2E9C-101B-9397-08002B2CF9AE}" pid="24" name="Mendeley Recent Style Name 6_1">
    <vt:lpwstr>Human Molecular Genetics</vt:lpwstr>
  </property>
  <property fmtid="{D5CDD505-2E9C-101B-9397-08002B2CF9AE}" pid="25" name="Mendeley Recent Style Id 7_1">
    <vt:lpwstr>http://www.zotero.org/styles/ieee</vt:lpwstr>
  </property>
  <property fmtid="{D5CDD505-2E9C-101B-9397-08002B2CF9AE}" pid="26" name="Mendeley Recent Style Name 7_1">
    <vt:lpwstr>IEEE</vt:lpwstr>
  </property>
  <property fmtid="{D5CDD505-2E9C-101B-9397-08002B2CF9AE}" pid="27" name="Mendeley Recent Style Id 8_1">
    <vt:lpwstr>http://www.zotero.org/styles/modern-humanities-research-association</vt:lpwstr>
  </property>
  <property fmtid="{D5CDD505-2E9C-101B-9397-08002B2CF9AE}" pid="28" name="Mendeley Recent Style Name 8_1">
    <vt:lpwstr>Modern Humanities Research Association 3rd edition (note with bibliography)</vt:lpwstr>
  </property>
  <property fmtid="{D5CDD505-2E9C-101B-9397-08002B2CF9AE}" pid="29" name="Mendeley Recent Style Id 9_1">
    <vt:lpwstr>http://www.zotero.org/styles/vancouver</vt:lpwstr>
  </property>
  <property fmtid="{D5CDD505-2E9C-101B-9397-08002B2CF9AE}" pid="30" name="Mendeley Recent Style Name 9_1">
    <vt:lpwstr>Vancouver</vt:lpwstr>
  </property>
</Properties>
</file>